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F" w:rsidRDefault="00BE17CB" w:rsidP="00F73FB6">
      <w:pPr>
        <w:spacing w:line="240" w:lineRule="auto"/>
        <w:rPr>
          <w:b/>
          <w:lang w:val="hr-HR"/>
        </w:rPr>
      </w:pPr>
      <w:r>
        <w:rPr>
          <w:b/>
          <w:lang w:val="hr-HR"/>
        </w:rPr>
        <w:t xml:space="preserve">„I JA </w:t>
      </w:r>
      <w:r w:rsidR="00B63EB5">
        <w:rPr>
          <w:b/>
          <w:lang w:val="hr-HR"/>
        </w:rPr>
        <w:t>ŽELIM</w:t>
      </w:r>
      <w:r>
        <w:rPr>
          <w:b/>
          <w:lang w:val="hr-HR"/>
        </w:rPr>
        <w:t xml:space="preserve"> ČITATI“ - </w:t>
      </w:r>
      <w:r w:rsidR="00087372">
        <w:rPr>
          <w:b/>
          <w:lang w:val="hr-HR"/>
        </w:rPr>
        <w:t xml:space="preserve">NACIONALNA </w:t>
      </w:r>
      <w:r w:rsidR="00EF7AE1" w:rsidRPr="00EF7AE1">
        <w:rPr>
          <w:b/>
          <w:lang w:val="hr-HR"/>
        </w:rPr>
        <w:t>K</w:t>
      </w:r>
      <w:r w:rsidR="001C7C3D">
        <w:rPr>
          <w:b/>
          <w:lang w:val="hr-HR"/>
        </w:rPr>
        <w:t>AMPANJA ZA</w:t>
      </w:r>
      <w:r w:rsidR="00EF7AE1" w:rsidRPr="00EF7AE1">
        <w:rPr>
          <w:b/>
          <w:lang w:val="hr-HR"/>
        </w:rPr>
        <w:t xml:space="preserve"> </w:t>
      </w:r>
      <w:r w:rsidR="007C0463">
        <w:rPr>
          <w:b/>
          <w:lang w:val="hr-HR"/>
        </w:rPr>
        <w:t xml:space="preserve">OSOBE </w:t>
      </w:r>
      <w:r w:rsidR="00904769">
        <w:rPr>
          <w:b/>
          <w:lang w:val="hr-HR"/>
        </w:rPr>
        <w:t>S</w:t>
      </w:r>
      <w:r w:rsidR="00EF7AE1" w:rsidRPr="00EF7AE1">
        <w:rPr>
          <w:b/>
          <w:lang w:val="hr-HR"/>
        </w:rPr>
        <w:t xml:space="preserve"> </w:t>
      </w:r>
      <w:r w:rsidR="001C7C3D">
        <w:rPr>
          <w:b/>
          <w:lang w:val="hr-HR"/>
        </w:rPr>
        <w:t xml:space="preserve">TEŠKOĆAMA </w:t>
      </w:r>
      <w:r w:rsidR="00087372">
        <w:rPr>
          <w:b/>
          <w:lang w:val="hr-HR"/>
        </w:rPr>
        <w:t>ČITANJA</w:t>
      </w:r>
      <w:r w:rsidR="00957D35">
        <w:rPr>
          <w:b/>
          <w:lang w:val="hr-HR"/>
        </w:rPr>
        <w:t xml:space="preserve"> </w:t>
      </w:r>
      <w:r w:rsidR="00D64BB6">
        <w:rPr>
          <w:b/>
          <w:lang w:val="hr-HR"/>
        </w:rPr>
        <w:t>I DISLEKSIJE</w:t>
      </w:r>
      <w:bookmarkStart w:id="0" w:name="_GoBack"/>
      <w:bookmarkEnd w:id="0"/>
    </w:p>
    <w:p w:rsidR="00F73FB6" w:rsidRDefault="00DB43AF" w:rsidP="00F73FB6">
      <w:pPr>
        <w:spacing w:line="240" w:lineRule="auto"/>
        <w:rPr>
          <w:b/>
          <w:lang w:val="hr-HR"/>
        </w:rPr>
      </w:pPr>
      <w:r>
        <w:rPr>
          <w:b/>
          <w:lang w:val="hr-HR"/>
        </w:rPr>
        <w:t>(</w:t>
      </w:r>
      <w:r w:rsidR="00C73617">
        <w:rPr>
          <w:b/>
          <w:lang w:val="hr-HR"/>
        </w:rPr>
        <w:t xml:space="preserve">jesen, </w:t>
      </w:r>
      <w:r>
        <w:rPr>
          <w:b/>
          <w:lang w:val="hr-HR"/>
        </w:rPr>
        <w:t>2016.</w:t>
      </w:r>
      <w:r w:rsidR="00E96638">
        <w:rPr>
          <w:b/>
          <w:lang w:val="hr-HR"/>
        </w:rPr>
        <w:t xml:space="preserve"> </w:t>
      </w:r>
      <w:r>
        <w:rPr>
          <w:b/>
          <w:lang w:val="hr-HR"/>
        </w:rPr>
        <w:t>-</w:t>
      </w:r>
      <w:r w:rsidR="00E96638">
        <w:rPr>
          <w:b/>
          <w:lang w:val="hr-HR"/>
        </w:rPr>
        <w:t xml:space="preserve"> </w:t>
      </w:r>
      <w:r w:rsidR="00C73617">
        <w:rPr>
          <w:b/>
          <w:lang w:val="hr-HR"/>
        </w:rPr>
        <w:t xml:space="preserve">jesen, </w:t>
      </w:r>
      <w:r>
        <w:rPr>
          <w:b/>
          <w:lang w:val="hr-HR"/>
        </w:rPr>
        <w:t>2017.)</w:t>
      </w:r>
    </w:p>
    <w:p w:rsidR="00CD442C" w:rsidRDefault="001F3DF3" w:rsidP="009813FF">
      <w:pPr>
        <w:jc w:val="both"/>
      </w:pPr>
      <w:r w:rsidRPr="00FF7B48">
        <w:rPr>
          <w:lang w:val="hr-HR"/>
        </w:rPr>
        <w:t>Rast i razvoj znanja te formalno obrazovanje ovise o vještinama čitanja i pisanja.</w:t>
      </w:r>
      <w:r>
        <w:rPr>
          <w:lang w:val="hr-HR"/>
        </w:rPr>
        <w:t xml:space="preserve"> </w:t>
      </w:r>
      <w:r w:rsidRPr="00FF7B48">
        <w:rPr>
          <w:lang w:val="hr-HR"/>
        </w:rPr>
        <w:t xml:space="preserve">Kada dijete urednih ili iznadprosječnih intelektualnih sposobnosti ne uspijeva svladati vještinu čitanja, to </w:t>
      </w:r>
      <w:r>
        <w:rPr>
          <w:lang w:val="hr-HR"/>
        </w:rPr>
        <w:t xml:space="preserve">mu onemogućuje </w:t>
      </w:r>
      <w:r w:rsidRPr="00FF7B48">
        <w:rPr>
          <w:lang w:val="hr-HR"/>
        </w:rPr>
        <w:t>da ostvari svoje intelektualne kapacitete i napreduje u obrazovanju</w:t>
      </w:r>
      <w:r>
        <w:rPr>
          <w:lang w:val="hr-HR"/>
        </w:rPr>
        <w:t xml:space="preserve"> te utječe na njegovo samopouzdanje</w:t>
      </w:r>
      <w:r w:rsidRPr="00FF7B48">
        <w:rPr>
          <w:lang w:val="hr-HR"/>
        </w:rPr>
        <w:t>. Poremećaj čitanja očituje se u brzini, točnosti te razumijevanju pročitanoga.</w:t>
      </w:r>
      <w:r w:rsidRPr="00FF7B48">
        <w:t xml:space="preserve"> </w:t>
      </w:r>
      <w:r w:rsidRPr="00FF7B48">
        <w:rPr>
          <w:lang w:val="hr-HR"/>
        </w:rPr>
        <w:t>Ocjenjivanje učenika s teškoćama u čitanju i pisanju koje obuhvaćaju populaciju učenika s različitim jezično-govornim teškoćama traži prilagodbe obrazovne literature i ispitnih materijala.</w:t>
      </w:r>
      <w:r w:rsidR="00CD442C">
        <w:rPr>
          <w:lang w:val="hr-HR"/>
        </w:rPr>
        <w:t xml:space="preserve"> </w:t>
      </w:r>
      <w:r w:rsidR="001E4CF4" w:rsidRPr="00FF7B48">
        <w:rPr>
          <w:lang w:val="hr-HR"/>
        </w:rPr>
        <w:t xml:space="preserve">Učenici s teškoćama čitanja </w:t>
      </w:r>
      <w:r w:rsidR="00680C0E" w:rsidRPr="00FF7B48">
        <w:rPr>
          <w:lang w:val="hr-HR"/>
        </w:rPr>
        <w:t xml:space="preserve">i </w:t>
      </w:r>
      <w:r w:rsidR="001E4CF4" w:rsidRPr="00FF7B48">
        <w:rPr>
          <w:lang w:val="hr-HR"/>
        </w:rPr>
        <w:t>disleksij</w:t>
      </w:r>
      <w:r w:rsidR="00680C0E" w:rsidRPr="00FF7B48">
        <w:rPr>
          <w:lang w:val="hr-HR"/>
        </w:rPr>
        <w:t>om</w:t>
      </w:r>
      <w:r w:rsidR="001E4CF4" w:rsidRPr="00FF7B48">
        <w:rPr>
          <w:lang w:val="hr-HR"/>
        </w:rPr>
        <w:t xml:space="preserve"> imaju poteškoće u prepoznavanju napisanih riječi i razumijevanju pročitanog. </w:t>
      </w:r>
      <w:proofErr w:type="spellStart"/>
      <w:proofErr w:type="gramStart"/>
      <w:r w:rsidR="00CD442C" w:rsidRPr="00FF7B48">
        <w:t>Obilježja</w:t>
      </w:r>
      <w:proofErr w:type="spellEnd"/>
      <w:r w:rsidR="00CD442C" w:rsidRPr="00FF7B48">
        <w:t xml:space="preserve"> </w:t>
      </w:r>
      <w:proofErr w:type="spellStart"/>
      <w:r w:rsidR="00CD442C" w:rsidRPr="00FF7B48">
        <w:t>disleksije</w:t>
      </w:r>
      <w:proofErr w:type="spellEnd"/>
      <w:r w:rsidR="00CD442C" w:rsidRPr="00FF7B48">
        <w:t xml:space="preserve"> </w:t>
      </w:r>
      <w:proofErr w:type="spellStart"/>
      <w:r w:rsidR="00CD442C" w:rsidRPr="00FF7B48">
        <w:t>i</w:t>
      </w:r>
      <w:proofErr w:type="spellEnd"/>
      <w:r w:rsidR="00CD442C" w:rsidRPr="00FF7B48">
        <w:t xml:space="preserve"> </w:t>
      </w:r>
      <w:proofErr w:type="spellStart"/>
      <w:r w:rsidR="00CD442C" w:rsidRPr="00FF7B48">
        <w:t>teškoća</w:t>
      </w:r>
      <w:proofErr w:type="spellEnd"/>
      <w:r w:rsidR="00CD442C" w:rsidRPr="00FF7B48">
        <w:t xml:space="preserve"> </w:t>
      </w:r>
      <w:proofErr w:type="spellStart"/>
      <w:r w:rsidR="00CD442C" w:rsidRPr="00FF7B48">
        <w:t>čitanja</w:t>
      </w:r>
      <w:proofErr w:type="spellEnd"/>
      <w:r w:rsidR="00CD442C" w:rsidRPr="00FF7B48">
        <w:t xml:space="preserve"> se </w:t>
      </w:r>
      <w:proofErr w:type="spellStart"/>
      <w:r w:rsidR="00CD442C" w:rsidRPr="00FF7B48">
        <w:t>preklapaju</w:t>
      </w:r>
      <w:proofErr w:type="spellEnd"/>
      <w:r w:rsidR="00CD442C" w:rsidRPr="00FF7B48">
        <w:t xml:space="preserve"> </w:t>
      </w:r>
      <w:proofErr w:type="spellStart"/>
      <w:r w:rsidR="00CD442C" w:rsidRPr="00FF7B48">
        <w:t>i</w:t>
      </w:r>
      <w:proofErr w:type="spellEnd"/>
      <w:r w:rsidR="00CD442C" w:rsidRPr="00FF7B48">
        <w:t xml:space="preserve"> </w:t>
      </w:r>
      <w:proofErr w:type="spellStart"/>
      <w:r w:rsidR="00CD442C" w:rsidRPr="00FF7B48">
        <w:t>vrlo</w:t>
      </w:r>
      <w:proofErr w:type="spellEnd"/>
      <w:r w:rsidR="00CD442C" w:rsidRPr="00FF7B48">
        <w:t xml:space="preserve"> </w:t>
      </w:r>
      <w:proofErr w:type="spellStart"/>
      <w:r w:rsidR="00CD442C" w:rsidRPr="00FF7B48">
        <w:t>često</w:t>
      </w:r>
      <w:proofErr w:type="spellEnd"/>
      <w:r w:rsidR="00CD442C" w:rsidRPr="00FF7B48">
        <w:t xml:space="preserve"> </w:t>
      </w:r>
      <w:proofErr w:type="spellStart"/>
      <w:r w:rsidR="00CD442C" w:rsidRPr="00FF7B48">
        <w:t>su</w:t>
      </w:r>
      <w:proofErr w:type="spellEnd"/>
      <w:r w:rsidR="00CD442C" w:rsidRPr="00FF7B48">
        <w:t xml:space="preserve"> </w:t>
      </w:r>
      <w:proofErr w:type="spellStart"/>
      <w:r w:rsidR="00CD442C" w:rsidRPr="00FF7B48">
        <w:t>istovjetna</w:t>
      </w:r>
      <w:proofErr w:type="spellEnd"/>
      <w:r w:rsidR="00CD442C" w:rsidRPr="00FF7B48">
        <w:t xml:space="preserve"> - </w:t>
      </w:r>
      <w:proofErr w:type="spellStart"/>
      <w:r w:rsidR="00CD442C" w:rsidRPr="00FF7B48">
        <w:t>čitanje</w:t>
      </w:r>
      <w:proofErr w:type="spellEnd"/>
      <w:r w:rsidR="00CD442C" w:rsidRPr="00FF7B48">
        <w:t xml:space="preserve"> </w:t>
      </w:r>
      <w:proofErr w:type="spellStart"/>
      <w:r w:rsidR="00CD442C" w:rsidRPr="00FF7B48">
        <w:t>i</w:t>
      </w:r>
      <w:proofErr w:type="spellEnd"/>
      <w:r w:rsidR="00CD442C" w:rsidRPr="00FF7B48">
        <w:t xml:space="preserve"> </w:t>
      </w:r>
      <w:proofErr w:type="spellStart"/>
      <w:r w:rsidR="00CD442C" w:rsidRPr="00FF7B48">
        <w:t>pisanje</w:t>
      </w:r>
      <w:proofErr w:type="spellEnd"/>
      <w:r w:rsidR="00CD442C" w:rsidRPr="00FF7B48">
        <w:t xml:space="preserve"> s </w:t>
      </w:r>
      <w:proofErr w:type="spellStart"/>
      <w:r w:rsidR="00CD442C" w:rsidRPr="00FF7B48">
        <w:t>greškama</w:t>
      </w:r>
      <w:proofErr w:type="spellEnd"/>
      <w:r w:rsidR="00CD442C" w:rsidRPr="00FF7B48">
        <w:t xml:space="preserve"> </w:t>
      </w:r>
      <w:proofErr w:type="spellStart"/>
      <w:r w:rsidR="00CD442C" w:rsidRPr="00FF7B48">
        <w:t>koje</w:t>
      </w:r>
      <w:proofErr w:type="spellEnd"/>
      <w:r w:rsidR="00CD442C" w:rsidRPr="00FF7B48">
        <w:t xml:space="preserve"> </w:t>
      </w:r>
      <w:proofErr w:type="spellStart"/>
      <w:r w:rsidR="00CD442C" w:rsidRPr="00FF7B48">
        <w:t>mogu</w:t>
      </w:r>
      <w:proofErr w:type="spellEnd"/>
      <w:r w:rsidR="00CD442C" w:rsidRPr="00FF7B48">
        <w:t xml:space="preserve"> </w:t>
      </w:r>
      <w:proofErr w:type="spellStart"/>
      <w:r w:rsidR="00CD442C" w:rsidRPr="00FF7B48">
        <w:t>činiti</w:t>
      </w:r>
      <w:proofErr w:type="spellEnd"/>
      <w:r w:rsidR="00CD442C" w:rsidRPr="00FF7B48">
        <w:t xml:space="preserve"> </w:t>
      </w:r>
      <w:proofErr w:type="spellStart"/>
      <w:r w:rsidR="00CD442C" w:rsidRPr="00FF7B48">
        <w:t>ispuštanja</w:t>
      </w:r>
      <w:proofErr w:type="spellEnd"/>
      <w:r w:rsidR="00CD442C" w:rsidRPr="00FF7B48">
        <w:t xml:space="preserve">, </w:t>
      </w:r>
      <w:proofErr w:type="spellStart"/>
      <w:r w:rsidR="00CD442C" w:rsidRPr="00FF7B48">
        <w:t>dodavanja</w:t>
      </w:r>
      <w:proofErr w:type="spellEnd"/>
      <w:r w:rsidR="00CD442C" w:rsidRPr="00FF7B48">
        <w:t xml:space="preserve">, </w:t>
      </w:r>
      <w:proofErr w:type="spellStart"/>
      <w:r w:rsidR="00CD442C" w:rsidRPr="00FF7B48">
        <w:t>zamjena</w:t>
      </w:r>
      <w:proofErr w:type="spellEnd"/>
      <w:r w:rsidR="00CD442C" w:rsidRPr="00FF7B48">
        <w:t xml:space="preserve"> </w:t>
      </w:r>
      <w:proofErr w:type="spellStart"/>
      <w:r w:rsidR="00CD442C" w:rsidRPr="00FF7B48">
        <w:t>glasova</w:t>
      </w:r>
      <w:proofErr w:type="spellEnd"/>
      <w:r w:rsidR="00CD442C" w:rsidRPr="00FF7B48">
        <w:t>/</w:t>
      </w:r>
      <w:proofErr w:type="spellStart"/>
      <w:r w:rsidR="00CD442C" w:rsidRPr="00FF7B48">
        <w:t>slova</w:t>
      </w:r>
      <w:proofErr w:type="spellEnd"/>
      <w:r w:rsidR="00CD442C" w:rsidRPr="00FF7B48">
        <w:t xml:space="preserve"> </w:t>
      </w:r>
      <w:proofErr w:type="spellStart"/>
      <w:r w:rsidR="00CD442C" w:rsidRPr="00FF7B48">
        <w:t>i</w:t>
      </w:r>
      <w:proofErr w:type="spellEnd"/>
      <w:r w:rsidR="00CD442C" w:rsidRPr="00FF7B48">
        <w:t xml:space="preserve"> </w:t>
      </w:r>
      <w:proofErr w:type="spellStart"/>
      <w:r w:rsidR="00CD442C" w:rsidRPr="00FF7B48">
        <w:t>slogova</w:t>
      </w:r>
      <w:proofErr w:type="spellEnd"/>
      <w:r w:rsidR="00CD442C" w:rsidRPr="00FF7B48">
        <w:t xml:space="preserve"> pa </w:t>
      </w:r>
      <w:proofErr w:type="spellStart"/>
      <w:r w:rsidR="00CD442C" w:rsidRPr="00FF7B48">
        <w:t>i</w:t>
      </w:r>
      <w:proofErr w:type="spellEnd"/>
      <w:r w:rsidR="00CD442C" w:rsidRPr="00FF7B48">
        <w:t xml:space="preserve"> </w:t>
      </w:r>
      <w:proofErr w:type="spellStart"/>
      <w:r w:rsidR="00CD442C" w:rsidRPr="00FF7B48">
        <w:t>cijelih</w:t>
      </w:r>
      <w:proofErr w:type="spellEnd"/>
      <w:r w:rsidR="00CD442C" w:rsidRPr="00FF7B48">
        <w:t xml:space="preserve"> </w:t>
      </w:r>
      <w:proofErr w:type="spellStart"/>
      <w:r w:rsidR="00CD442C" w:rsidRPr="00FF7B48">
        <w:t>riječi</w:t>
      </w:r>
      <w:proofErr w:type="spellEnd"/>
      <w:r w:rsidR="00CD442C" w:rsidRPr="00FF7B48">
        <w:t xml:space="preserve">, a </w:t>
      </w:r>
      <w:proofErr w:type="spellStart"/>
      <w:r w:rsidR="00CD442C" w:rsidRPr="00FF7B48">
        <w:t>najviše</w:t>
      </w:r>
      <w:proofErr w:type="spellEnd"/>
      <w:r w:rsidR="00CD442C" w:rsidRPr="00FF7B48">
        <w:t xml:space="preserve"> </w:t>
      </w:r>
      <w:proofErr w:type="spellStart"/>
      <w:r w:rsidR="00CD442C" w:rsidRPr="00FF7B48">
        <w:t>ih</w:t>
      </w:r>
      <w:proofErr w:type="spellEnd"/>
      <w:r w:rsidR="00CD442C" w:rsidRPr="00FF7B48">
        <w:t xml:space="preserve"> </w:t>
      </w:r>
      <w:proofErr w:type="spellStart"/>
      <w:r w:rsidR="00CD442C" w:rsidRPr="00FF7B48">
        <w:t>razlikuje</w:t>
      </w:r>
      <w:proofErr w:type="spellEnd"/>
      <w:r w:rsidR="00CD442C" w:rsidRPr="00FF7B48">
        <w:t xml:space="preserve"> </w:t>
      </w:r>
      <w:proofErr w:type="spellStart"/>
      <w:r w:rsidR="00CD442C">
        <w:t>što</w:t>
      </w:r>
      <w:proofErr w:type="spellEnd"/>
      <w:r w:rsidR="00CD442C">
        <w:t xml:space="preserve"> </w:t>
      </w:r>
      <w:proofErr w:type="spellStart"/>
      <w:r w:rsidR="00CD442C">
        <w:t>su</w:t>
      </w:r>
      <w:proofErr w:type="spellEnd"/>
      <w:r w:rsidR="00CD442C">
        <w:t xml:space="preserve"> </w:t>
      </w:r>
      <w:proofErr w:type="spellStart"/>
      <w:r w:rsidR="00CD442C">
        <w:t>navedene</w:t>
      </w:r>
      <w:proofErr w:type="spellEnd"/>
      <w:r w:rsidR="00CD442C">
        <w:t xml:space="preserve"> </w:t>
      </w:r>
      <w:proofErr w:type="spellStart"/>
      <w:r w:rsidR="00CD442C">
        <w:t>značajke</w:t>
      </w:r>
      <w:proofErr w:type="spellEnd"/>
      <w:r w:rsidR="00CD442C">
        <w:t xml:space="preserve"> </w:t>
      </w:r>
      <w:proofErr w:type="spellStart"/>
      <w:r w:rsidR="00CD442C">
        <w:t>više</w:t>
      </w:r>
      <w:proofErr w:type="spellEnd"/>
      <w:r w:rsidR="00CD442C">
        <w:t xml:space="preserve"> </w:t>
      </w:r>
      <w:proofErr w:type="spellStart"/>
      <w:r w:rsidR="00CD442C">
        <w:t>učestale</w:t>
      </w:r>
      <w:proofErr w:type="spellEnd"/>
      <w:r w:rsidR="00CD442C">
        <w:t xml:space="preserve"> </w:t>
      </w:r>
      <w:proofErr w:type="spellStart"/>
      <w:r w:rsidR="00CD442C">
        <w:t>i</w:t>
      </w:r>
      <w:proofErr w:type="spellEnd"/>
      <w:r w:rsidR="00CD442C">
        <w:t xml:space="preserve"> </w:t>
      </w:r>
      <w:proofErr w:type="spellStart"/>
      <w:r w:rsidR="00CD442C">
        <w:t>nije</w:t>
      </w:r>
      <w:proofErr w:type="spellEnd"/>
      <w:r w:rsidR="00CD442C">
        <w:t xml:space="preserve"> </w:t>
      </w:r>
      <w:proofErr w:type="spellStart"/>
      <w:r w:rsidR="00CD442C">
        <w:t>ih</w:t>
      </w:r>
      <w:proofErr w:type="spellEnd"/>
      <w:r w:rsidR="00CD442C">
        <w:t xml:space="preserve"> </w:t>
      </w:r>
      <w:proofErr w:type="spellStart"/>
      <w:r w:rsidR="00CD442C">
        <w:t>moguće</w:t>
      </w:r>
      <w:proofErr w:type="spellEnd"/>
      <w:r w:rsidR="00CD442C">
        <w:t xml:space="preserve"> u </w:t>
      </w:r>
      <w:proofErr w:type="spellStart"/>
      <w:r w:rsidR="00CD442C">
        <w:t>cijelosti</w:t>
      </w:r>
      <w:proofErr w:type="spellEnd"/>
      <w:r w:rsidR="00CD442C">
        <w:t xml:space="preserve"> </w:t>
      </w:r>
      <w:proofErr w:type="spellStart"/>
      <w:r w:rsidR="00CD442C">
        <w:t>otkoloniti</w:t>
      </w:r>
      <w:proofErr w:type="spellEnd"/>
      <w:r w:rsidR="00CD442C">
        <w:t>.</w:t>
      </w:r>
      <w:proofErr w:type="gramEnd"/>
      <w:r w:rsidR="00CD442C">
        <w:t xml:space="preserve"> </w:t>
      </w:r>
      <w:r w:rsidR="00CD442C" w:rsidRPr="00FF7B48">
        <w:t xml:space="preserve">    </w:t>
      </w:r>
    </w:p>
    <w:p w:rsidR="00CD442C" w:rsidRPr="00FF7B48" w:rsidRDefault="00CD442C" w:rsidP="00CD442C">
      <w:pPr>
        <w:jc w:val="both"/>
        <w:rPr>
          <w:lang w:val="hr-HR"/>
        </w:rPr>
      </w:pPr>
      <w:r w:rsidRPr="00FF7B48">
        <w:rPr>
          <w:lang w:val="hr-HR"/>
        </w:rPr>
        <w:t xml:space="preserve">Hrvatska udruga za disleksiju raspolaže podatkom da oko 30.000 učenika u osnovnim školama ima disleksiju što predstavlja oko 5-10 % osnovnoškolske populacije. Hrvatsko logopedsko društvo donosi podatak o svakom desetom učeniku koji ima teškoće sa čitanjem. U konačnici, tu djecu prate  problemi s učenjem tijekom cijelog školovanja. </w:t>
      </w:r>
    </w:p>
    <w:p w:rsidR="00756DBD" w:rsidRPr="00FF7B48" w:rsidRDefault="00756DBD" w:rsidP="00756DBD">
      <w:pPr>
        <w:jc w:val="both"/>
        <w:rPr>
          <w:lang w:val="hr-HR"/>
        </w:rPr>
      </w:pPr>
      <w:r w:rsidRPr="00FF7B48">
        <w:rPr>
          <w:lang w:val="hr-HR"/>
        </w:rPr>
        <w:t>U Hrvatskoj nema sustavnog i organiziranog istraživanja</w:t>
      </w:r>
      <w:r w:rsidRPr="00FF7B48">
        <w:t xml:space="preserve"> </w:t>
      </w:r>
      <w:r w:rsidRPr="00FF7B48">
        <w:rPr>
          <w:lang w:val="hr-HR"/>
        </w:rPr>
        <w:t xml:space="preserve">teškoća čitanja kod školske djece osim u pojedinim školama u kojima to </w:t>
      </w:r>
      <w:r w:rsidR="00CD442C">
        <w:rPr>
          <w:lang w:val="hr-HR"/>
        </w:rPr>
        <w:t xml:space="preserve">provode školski </w:t>
      </w:r>
      <w:r w:rsidRPr="00FF7B48">
        <w:rPr>
          <w:lang w:val="hr-HR"/>
        </w:rPr>
        <w:t xml:space="preserve">logopedi. Disleksija je jedna od nekoliko specifičnih teškoća učenja. Uz probleme čitanja uključuje i ozbiljne probleme u vještini pisanja. </w:t>
      </w:r>
    </w:p>
    <w:p w:rsidR="00CD442C" w:rsidRDefault="00CD442C" w:rsidP="002649CF">
      <w:pPr>
        <w:jc w:val="both"/>
        <w:rPr>
          <w:b/>
          <w:lang w:val="hr-HR"/>
        </w:rPr>
      </w:pPr>
    </w:p>
    <w:p w:rsidR="00A53E51" w:rsidRPr="00FF7B48" w:rsidRDefault="00C31B88" w:rsidP="002649CF">
      <w:pPr>
        <w:jc w:val="both"/>
        <w:rPr>
          <w:lang w:val="hr-HR"/>
        </w:rPr>
      </w:pPr>
      <w:r w:rsidRPr="00FF7B48">
        <w:rPr>
          <w:b/>
          <w:lang w:val="hr-HR"/>
        </w:rPr>
        <w:t>Grafikon</w:t>
      </w:r>
      <w:r w:rsidR="001074AD" w:rsidRPr="00FF7B48">
        <w:rPr>
          <w:b/>
          <w:lang w:val="hr-HR"/>
        </w:rPr>
        <w:t xml:space="preserve"> </w:t>
      </w:r>
      <w:r w:rsidRPr="00FF7B48">
        <w:rPr>
          <w:b/>
          <w:lang w:val="hr-HR"/>
        </w:rPr>
        <w:t>1: Udio osoba s disleksijom u ukupnom broju stanovnika</w:t>
      </w:r>
    </w:p>
    <w:p w:rsidR="00A53E51" w:rsidRDefault="006C4F4F">
      <w:pPr>
        <w:rPr>
          <w:lang w:val="hr-HR"/>
        </w:rPr>
      </w:pPr>
      <w:r w:rsidRPr="006C4F4F">
        <w:rPr>
          <w:noProof/>
          <w:lang w:val="hr-HR" w:eastAsia="hr-HR"/>
        </w:rPr>
        <w:object w:dxaOrig="8919" w:dyaOrig="5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3" o:spid="_x0000_i1025" type="#_x0000_t75" style="width:446.15pt;height:284.55pt;visibility:visible" o:ole="">
            <v:imagedata r:id="rId7" o:title=""/>
            <o:lock v:ext="edit" aspectratio="f"/>
          </v:shape>
          <o:OLEObject Type="Embed" ProgID="Excel.Sheet.8" ShapeID="Chart 3" DrawAspect="Content" ObjectID="_1535734189" r:id="rId8">
            <o:FieldCodes>\s</o:FieldCodes>
          </o:OLEObject>
        </w:object>
      </w:r>
    </w:p>
    <w:p w:rsidR="002649CF" w:rsidRPr="00FF7B48" w:rsidRDefault="00C31B88" w:rsidP="00A7674D">
      <w:pPr>
        <w:jc w:val="both"/>
        <w:rPr>
          <w:lang w:val="hr-HR"/>
        </w:rPr>
      </w:pPr>
      <w:r>
        <w:rPr>
          <w:lang w:val="hr-HR"/>
        </w:rPr>
        <w:lastRenderedPageBreak/>
        <w:t xml:space="preserve">Grafikon pokazuje postotni udio </w:t>
      </w:r>
      <w:r w:rsidRPr="00FF7B48">
        <w:rPr>
          <w:lang w:val="hr-HR"/>
        </w:rPr>
        <w:t>osoba s disleksijom u ukupnom broj</w:t>
      </w:r>
      <w:r w:rsidR="0038073D" w:rsidRPr="00FF7B48">
        <w:rPr>
          <w:lang w:val="hr-HR"/>
        </w:rPr>
        <w:t>u</w:t>
      </w:r>
      <w:r w:rsidRPr="00FF7B48">
        <w:rPr>
          <w:lang w:val="hr-HR"/>
        </w:rPr>
        <w:t xml:space="preserve"> stanovnika </w:t>
      </w:r>
      <w:r w:rsidR="0038073D" w:rsidRPr="00FF7B48">
        <w:rPr>
          <w:lang w:val="hr-HR"/>
        </w:rPr>
        <w:t>u raznim zemljama</w:t>
      </w:r>
      <w:r w:rsidR="0038073D">
        <w:rPr>
          <w:lang w:val="hr-HR"/>
        </w:rPr>
        <w:t xml:space="preserve"> </w:t>
      </w:r>
      <w:r>
        <w:rPr>
          <w:lang w:val="hr-HR"/>
        </w:rPr>
        <w:t xml:space="preserve">svijeta, SAD-a, </w:t>
      </w:r>
      <w:r w:rsidRPr="0071056C">
        <w:rPr>
          <w:lang w:val="hr-HR"/>
        </w:rPr>
        <w:t xml:space="preserve">Ujedinjenog </w:t>
      </w:r>
      <w:r w:rsidR="006C66D6">
        <w:rPr>
          <w:lang w:val="hr-HR"/>
        </w:rPr>
        <w:t>K</w:t>
      </w:r>
      <w:r w:rsidRPr="0071056C">
        <w:rPr>
          <w:lang w:val="hr-HR"/>
        </w:rPr>
        <w:t>raljevstva</w:t>
      </w:r>
      <w:r>
        <w:rPr>
          <w:lang w:val="hr-HR"/>
        </w:rPr>
        <w:t>, Kanade</w:t>
      </w:r>
      <w:r w:rsidR="00CC131F">
        <w:rPr>
          <w:lang w:val="hr-HR"/>
        </w:rPr>
        <w:t xml:space="preserve">, </w:t>
      </w:r>
      <w:r>
        <w:rPr>
          <w:lang w:val="hr-HR"/>
        </w:rPr>
        <w:t>Australije</w:t>
      </w:r>
      <w:r w:rsidR="00E45A93">
        <w:rPr>
          <w:lang w:val="hr-HR"/>
        </w:rPr>
        <w:t xml:space="preserve">, a u </w:t>
      </w:r>
      <w:r w:rsidR="00CC131F" w:rsidRPr="00FF7B48">
        <w:rPr>
          <w:lang w:val="hr-HR"/>
        </w:rPr>
        <w:t>Hrvatsk</w:t>
      </w:r>
      <w:r w:rsidR="00E45A93">
        <w:rPr>
          <w:lang w:val="hr-HR"/>
        </w:rPr>
        <w:t xml:space="preserve">oj </w:t>
      </w:r>
      <w:r w:rsidR="00986D7B" w:rsidRPr="00FF7B48">
        <w:rPr>
          <w:lang w:val="hr-HR"/>
        </w:rPr>
        <w:t xml:space="preserve">zahvaća oko </w:t>
      </w:r>
      <w:r w:rsidR="00087372" w:rsidRPr="00FF7B48">
        <w:rPr>
          <w:lang w:val="hr-HR"/>
        </w:rPr>
        <w:t>5-</w:t>
      </w:r>
      <w:r w:rsidR="00986D7B" w:rsidRPr="00FF7B48">
        <w:rPr>
          <w:lang w:val="hr-HR"/>
        </w:rPr>
        <w:t xml:space="preserve">10 % populacije. </w:t>
      </w:r>
    </w:p>
    <w:p w:rsidR="00CD7C44" w:rsidRPr="00846931" w:rsidRDefault="00CD7C44" w:rsidP="0038073D">
      <w:pPr>
        <w:spacing w:line="240" w:lineRule="auto"/>
        <w:jc w:val="both"/>
        <w:rPr>
          <w:lang w:val="hr-HR"/>
        </w:rPr>
      </w:pPr>
      <w:r w:rsidRPr="00846931">
        <w:rPr>
          <w:lang w:val="hr-HR"/>
        </w:rPr>
        <w:t xml:space="preserve">Hrvatsko knjižničarsko društvo smatra da je u interesu javnosti i cijeloga hrvatskog društva osigurati neometan i ravnopravan pristup književnim djelima i informacijama </w:t>
      </w:r>
      <w:r w:rsidR="006E0E5D">
        <w:rPr>
          <w:lang w:val="hr-HR"/>
        </w:rPr>
        <w:t xml:space="preserve">svim dobnim skupinama osoba s teškoćama čitanja, disleksijom i osobama koje ne mogu čitati standardni tisak. </w:t>
      </w:r>
    </w:p>
    <w:p w:rsidR="00846931" w:rsidRPr="0038073D" w:rsidRDefault="00CD7C44" w:rsidP="00846931">
      <w:pPr>
        <w:spacing w:before="100" w:beforeAutospacing="1" w:after="100" w:afterAutospacing="1" w:line="240" w:lineRule="auto"/>
        <w:jc w:val="both"/>
        <w:rPr>
          <w:lang w:val="hr-HR"/>
        </w:rPr>
      </w:pPr>
      <w:r w:rsidRPr="00846931">
        <w:rPr>
          <w:lang w:val="hr-HR"/>
        </w:rPr>
        <w:t xml:space="preserve">Kampanja koju pokreću knjižničari pokušat će povezati sve one sudionike u procesu zagovaranja za boljim razumijevanjem problema osoba s teškoćama </w:t>
      </w:r>
      <w:r w:rsidR="008B475A">
        <w:rPr>
          <w:lang w:val="hr-HR"/>
        </w:rPr>
        <w:t xml:space="preserve">čitanja. </w:t>
      </w:r>
      <w:r w:rsidR="00846931">
        <w:rPr>
          <w:lang w:val="hr-HR"/>
        </w:rPr>
        <w:t xml:space="preserve"> </w:t>
      </w:r>
    </w:p>
    <w:p w:rsidR="00751464" w:rsidRDefault="00846931" w:rsidP="00A7674D">
      <w:pPr>
        <w:jc w:val="both"/>
        <w:rPr>
          <w:lang w:val="hr-HR"/>
        </w:rPr>
      </w:pPr>
      <w:r w:rsidRPr="001C125F">
        <w:rPr>
          <w:lang w:val="hr-HR"/>
        </w:rPr>
        <w:t>C</w:t>
      </w:r>
      <w:r w:rsidR="00CD7C44" w:rsidRPr="001C125F">
        <w:rPr>
          <w:lang w:val="hr-HR"/>
        </w:rPr>
        <w:t>ilj je</w:t>
      </w:r>
      <w:r w:rsidR="00B41267" w:rsidRPr="001C125F">
        <w:rPr>
          <w:lang w:val="hr-HR"/>
        </w:rPr>
        <w:t xml:space="preserve"> ove kampanje informirati </w:t>
      </w:r>
      <w:r w:rsidR="00CD7C44" w:rsidRPr="001C125F">
        <w:rPr>
          <w:lang w:val="hr-HR"/>
        </w:rPr>
        <w:t>i</w:t>
      </w:r>
      <w:r w:rsidR="00B41267" w:rsidRPr="001C125F">
        <w:rPr>
          <w:lang w:val="hr-HR"/>
        </w:rPr>
        <w:t xml:space="preserve"> educirati</w:t>
      </w:r>
      <w:r w:rsidR="00CA3F86" w:rsidRPr="001C125F">
        <w:rPr>
          <w:lang w:val="hr-HR"/>
        </w:rPr>
        <w:t xml:space="preserve"> </w:t>
      </w:r>
      <w:r w:rsidRPr="001C125F">
        <w:rPr>
          <w:lang w:val="hr-HR"/>
        </w:rPr>
        <w:t xml:space="preserve">javnost </w:t>
      </w:r>
      <w:r w:rsidR="00B41267" w:rsidRPr="001C125F">
        <w:rPr>
          <w:lang w:val="hr-HR"/>
        </w:rPr>
        <w:t>te</w:t>
      </w:r>
      <w:r w:rsidR="00CD7C44" w:rsidRPr="001C125F">
        <w:rPr>
          <w:lang w:val="hr-HR"/>
        </w:rPr>
        <w:t xml:space="preserve"> </w:t>
      </w:r>
      <w:r w:rsidRPr="001C125F">
        <w:rPr>
          <w:lang w:val="hr-HR"/>
        </w:rPr>
        <w:t xml:space="preserve">ju </w:t>
      </w:r>
      <w:r w:rsidR="00B41267" w:rsidRPr="001C125F">
        <w:rPr>
          <w:lang w:val="hr-HR"/>
        </w:rPr>
        <w:t>učiniti osjetljiv</w:t>
      </w:r>
      <w:r w:rsidRPr="001C125F">
        <w:rPr>
          <w:lang w:val="hr-HR"/>
        </w:rPr>
        <w:t xml:space="preserve">om </w:t>
      </w:r>
      <w:r w:rsidR="00B41267" w:rsidRPr="001C125F">
        <w:rPr>
          <w:lang w:val="hr-HR"/>
        </w:rPr>
        <w:t xml:space="preserve">za problematiku osoba s teškoćama </w:t>
      </w:r>
      <w:r w:rsidR="00904769" w:rsidRPr="001C125F">
        <w:rPr>
          <w:lang w:val="hr-HR"/>
        </w:rPr>
        <w:t>čitanja</w:t>
      </w:r>
      <w:r w:rsidR="00C322CC">
        <w:rPr>
          <w:lang w:val="hr-HR"/>
        </w:rPr>
        <w:t xml:space="preserve"> i disleksijom</w:t>
      </w:r>
      <w:r w:rsidR="00B41267" w:rsidRPr="001C125F">
        <w:rPr>
          <w:lang w:val="hr-HR"/>
        </w:rPr>
        <w:t>.</w:t>
      </w:r>
      <w:r w:rsidR="00B41267" w:rsidRPr="007C0463">
        <w:rPr>
          <w:lang w:val="hr-HR"/>
        </w:rPr>
        <w:t xml:space="preserve"> Pokušat će se utjecati na izmjenu Zakona o autorskom pravu </w:t>
      </w:r>
      <w:r w:rsidR="00452652" w:rsidRPr="007C0463">
        <w:rPr>
          <w:lang w:val="hr-HR"/>
        </w:rPr>
        <w:t xml:space="preserve">i srodnim pravima </w:t>
      </w:r>
      <w:r w:rsidR="00B41267" w:rsidRPr="007C0463">
        <w:rPr>
          <w:lang w:val="hr-HR"/>
        </w:rPr>
        <w:t>(</w:t>
      </w:r>
      <w:r w:rsidR="003312D1" w:rsidRPr="007C0463">
        <w:rPr>
          <w:lang w:val="hr-HR"/>
        </w:rPr>
        <w:t xml:space="preserve">NN 167/03, </w:t>
      </w:r>
      <w:r w:rsidR="00B41267" w:rsidRPr="007C0463">
        <w:rPr>
          <w:lang w:val="hr-HR"/>
        </w:rPr>
        <w:t xml:space="preserve">čl. 86) koji bi omogućio osobama s teškoćama </w:t>
      </w:r>
      <w:r w:rsidR="00904769" w:rsidRPr="007C0463">
        <w:rPr>
          <w:lang w:val="hr-HR"/>
        </w:rPr>
        <w:t>čitanja</w:t>
      </w:r>
      <w:r w:rsidR="000D0E4F">
        <w:rPr>
          <w:lang w:val="hr-HR"/>
        </w:rPr>
        <w:t xml:space="preserve"> i disleksijom</w:t>
      </w:r>
      <w:r w:rsidR="00CD7C44">
        <w:rPr>
          <w:lang w:val="hr-HR"/>
        </w:rPr>
        <w:t xml:space="preserve"> </w:t>
      </w:r>
      <w:r w:rsidR="00B41267" w:rsidRPr="007C0463">
        <w:rPr>
          <w:lang w:val="hr-HR"/>
        </w:rPr>
        <w:t>lakši pristup većem broju knjiga priređenih za ovu skupinu ljudi.</w:t>
      </w:r>
      <w:r w:rsidR="002265E5" w:rsidRPr="007C0463">
        <w:rPr>
          <w:lang w:val="hr-HR"/>
        </w:rPr>
        <w:t xml:space="preserve"> </w:t>
      </w:r>
    </w:p>
    <w:p w:rsidR="002265E5" w:rsidRPr="007C0463" w:rsidRDefault="002265E5" w:rsidP="00A7674D">
      <w:pPr>
        <w:jc w:val="both"/>
        <w:rPr>
          <w:lang w:val="hr-HR"/>
        </w:rPr>
      </w:pPr>
      <w:r w:rsidRPr="007C0463">
        <w:rPr>
          <w:lang w:val="hr-HR"/>
        </w:rPr>
        <w:t>Sadašnja formulacija čl. 86 ne uključuje mnoge od osoba s teškoćama čitanja, a time i učenja jer one n</w:t>
      </w:r>
      <w:r w:rsidR="003F1281">
        <w:rPr>
          <w:lang w:val="hr-HR"/>
        </w:rPr>
        <w:t xml:space="preserve">isu </w:t>
      </w:r>
      <w:r w:rsidR="00DC22BE">
        <w:rPr>
          <w:lang w:val="hr-HR"/>
        </w:rPr>
        <w:t>osob</w:t>
      </w:r>
      <w:r w:rsidR="003F1281">
        <w:rPr>
          <w:lang w:val="hr-HR"/>
        </w:rPr>
        <w:t xml:space="preserve">e s </w:t>
      </w:r>
      <w:r w:rsidRPr="007C0463">
        <w:rPr>
          <w:lang w:val="hr-HR"/>
        </w:rPr>
        <w:t>invalidi</w:t>
      </w:r>
      <w:r w:rsidR="00DC22BE">
        <w:rPr>
          <w:lang w:val="hr-HR"/>
        </w:rPr>
        <w:t>tetom</w:t>
      </w:r>
      <w:r w:rsidR="003F1281">
        <w:rPr>
          <w:lang w:val="hr-HR"/>
        </w:rPr>
        <w:t xml:space="preserve">. </w:t>
      </w:r>
      <w:r w:rsidR="00DC22BE">
        <w:rPr>
          <w:lang w:val="hr-HR"/>
        </w:rPr>
        <w:t>Te osobe ne stječu prava u</w:t>
      </w:r>
      <w:r w:rsidRPr="007C0463">
        <w:rPr>
          <w:lang w:val="hr-HR"/>
        </w:rPr>
        <w:t xml:space="preserve"> smislu Zakona o mirovinskom osiguranju, Zakona o socijalnoj skrbi ili Zakona o profesionalnoj rehabilitaciji i zapošljavanju osoba s invaliditetom</w:t>
      </w:r>
      <w:r w:rsidR="000D0E4F">
        <w:rPr>
          <w:lang w:val="hr-HR"/>
        </w:rPr>
        <w:t>,</w:t>
      </w:r>
      <w:r w:rsidRPr="007C0463">
        <w:rPr>
          <w:lang w:val="hr-HR"/>
        </w:rPr>
        <w:t xml:space="preserve"> niti su uvedene u Hrvatski registar osoba s invaliditetom. Osobe s disleksijom</w:t>
      </w:r>
      <w:r w:rsidR="00DC22BE">
        <w:rPr>
          <w:lang w:val="hr-HR"/>
        </w:rPr>
        <w:t xml:space="preserve"> </w:t>
      </w:r>
      <w:r w:rsidRPr="007C0463">
        <w:rPr>
          <w:lang w:val="hr-HR"/>
        </w:rPr>
        <w:t>n</w:t>
      </w:r>
      <w:r w:rsidR="00751464">
        <w:rPr>
          <w:lang w:val="hr-HR"/>
        </w:rPr>
        <w:t xml:space="preserve">isu osobe </w:t>
      </w:r>
      <w:r w:rsidRPr="007C0463">
        <w:rPr>
          <w:lang w:val="hr-HR"/>
        </w:rPr>
        <w:t xml:space="preserve">čije je zdravstveno stanje trajno oštećeno ili tjelesni integritet narušen i </w:t>
      </w:r>
      <w:r w:rsidR="00751464">
        <w:rPr>
          <w:lang w:val="hr-HR"/>
        </w:rPr>
        <w:t xml:space="preserve">nisu osobe s invaliditetom te ne mogu steći prava osoba s invaliditetom. </w:t>
      </w:r>
      <w:r w:rsidR="001E07AE">
        <w:rPr>
          <w:lang w:val="hr-HR"/>
        </w:rPr>
        <w:t>Stoga p</w:t>
      </w:r>
      <w:r w:rsidR="002D3FBC" w:rsidRPr="007C0463">
        <w:rPr>
          <w:lang w:val="hr-HR"/>
        </w:rPr>
        <w:t xml:space="preserve">redlažemo da se čl. 86. ZAPSP-a preoblikuje tako da </w:t>
      </w:r>
      <w:r w:rsidR="001E07AE">
        <w:rPr>
          <w:lang w:val="hr-HR"/>
        </w:rPr>
        <w:t xml:space="preserve">osim </w:t>
      </w:r>
      <w:r w:rsidR="002D3FBC" w:rsidRPr="007C0463">
        <w:rPr>
          <w:lang w:val="hr-HR"/>
        </w:rPr>
        <w:t>osob</w:t>
      </w:r>
      <w:r w:rsidR="001E07AE">
        <w:rPr>
          <w:lang w:val="hr-HR"/>
        </w:rPr>
        <w:t>a</w:t>
      </w:r>
      <w:r w:rsidR="002D3FBC" w:rsidRPr="007C0463">
        <w:rPr>
          <w:lang w:val="hr-HR"/>
        </w:rPr>
        <w:t xml:space="preserve"> s invaliditetom obuhvati i osobe s teškoćama čitanja </w:t>
      </w:r>
      <w:r w:rsidR="001E07AE">
        <w:rPr>
          <w:lang w:val="hr-HR"/>
        </w:rPr>
        <w:t xml:space="preserve">i disleksijom </w:t>
      </w:r>
      <w:r w:rsidR="002D3FBC" w:rsidRPr="007C0463">
        <w:rPr>
          <w:lang w:val="hr-HR"/>
        </w:rPr>
        <w:t xml:space="preserve">koje se ne mogu služiti tiskanim slovima na uobičajen način. </w:t>
      </w:r>
    </w:p>
    <w:p w:rsidR="006433B4" w:rsidRDefault="006433B4" w:rsidP="00B41267">
      <w:pPr>
        <w:rPr>
          <w:i/>
          <w:u w:val="single"/>
          <w:lang w:val="hr-HR"/>
        </w:rPr>
      </w:pPr>
    </w:p>
    <w:p w:rsidR="00F73FB6" w:rsidRDefault="00774C77" w:rsidP="00B41267">
      <w:pPr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Ciljevi Kampanje</w:t>
      </w:r>
    </w:p>
    <w:p w:rsidR="00F73FB6" w:rsidRPr="00BF07D0" w:rsidRDefault="00F73FB6" w:rsidP="00F73FB6">
      <w:pPr>
        <w:pStyle w:val="ListParagraph"/>
        <w:numPr>
          <w:ilvl w:val="0"/>
          <w:numId w:val="1"/>
        </w:numPr>
        <w:rPr>
          <w:lang w:val="hr-HR"/>
        </w:rPr>
      </w:pPr>
      <w:r w:rsidRPr="00BF07D0">
        <w:rPr>
          <w:lang w:val="hr-HR"/>
        </w:rPr>
        <w:t xml:space="preserve">Informirati i educirati </w:t>
      </w:r>
      <w:r w:rsidR="00C13565">
        <w:rPr>
          <w:lang w:val="hr-HR"/>
        </w:rPr>
        <w:t xml:space="preserve">ljude </w:t>
      </w:r>
      <w:r w:rsidRPr="00BF07D0">
        <w:rPr>
          <w:lang w:val="hr-HR"/>
        </w:rPr>
        <w:t xml:space="preserve">o teškoćama </w:t>
      </w:r>
      <w:r w:rsidR="00904769" w:rsidRPr="00BF07D0">
        <w:rPr>
          <w:lang w:val="hr-HR"/>
        </w:rPr>
        <w:t>čitanja</w:t>
      </w:r>
      <w:r w:rsidR="00D7188E" w:rsidRPr="00BF07D0">
        <w:rPr>
          <w:lang w:val="hr-HR"/>
        </w:rPr>
        <w:t xml:space="preserve"> i disleksiji</w:t>
      </w:r>
      <w:r w:rsidR="00132E4F">
        <w:rPr>
          <w:lang w:val="hr-HR"/>
        </w:rPr>
        <w:t>.</w:t>
      </w:r>
    </w:p>
    <w:p w:rsidR="00774C77" w:rsidRDefault="00774C77" w:rsidP="00774C77">
      <w:pPr>
        <w:pStyle w:val="ListParagraph"/>
        <w:numPr>
          <w:ilvl w:val="0"/>
          <w:numId w:val="1"/>
        </w:numPr>
        <w:rPr>
          <w:lang w:val="hr-HR"/>
        </w:rPr>
      </w:pPr>
      <w:r w:rsidRPr="00774C77">
        <w:rPr>
          <w:lang w:val="hr-HR"/>
        </w:rPr>
        <w:t>Senzibilizirati širu javnost o problemima</w:t>
      </w:r>
      <w:r w:rsidR="004F4185">
        <w:rPr>
          <w:lang w:val="hr-HR"/>
        </w:rPr>
        <w:t xml:space="preserve"> i </w:t>
      </w:r>
      <w:r w:rsidR="004F4185" w:rsidRPr="0071056C">
        <w:rPr>
          <w:lang w:val="hr-HR"/>
        </w:rPr>
        <w:t>potrebama</w:t>
      </w:r>
      <w:r w:rsidR="0071056C">
        <w:rPr>
          <w:lang w:val="hr-HR"/>
        </w:rPr>
        <w:t xml:space="preserve"> </w:t>
      </w:r>
      <w:r w:rsidRPr="00774C77">
        <w:rPr>
          <w:lang w:val="hr-HR"/>
        </w:rPr>
        <w:t xml:space="preserve">osoba s  teškoćama </w:t>
      </w:r>
      <w:r w:rsidR="00904769">
        <w:rPr>
          <w:lang w:val="hr-HR"/>
        </w:rPr>
        <w:t>čitanja</w:t>
      </w:r>
      <w:r w:rsidR="00D7188E">
        <w:rPr>
          <w:lang w:val="hr-HR"/>
        </w:rPr>
        <w:t xml:space="preserve"> i </w:t>
      </w:r>
      <w:r w:rsidR="00D7188E" w:rsidRPr="00BF07D0">
        <w:rPr>
          <w:lang w:val="hr-HR"/>
        </w:rPr>
        <w:t>disleksijom te potrebama</w:t>
      </w:r>
      <w:r w:rsidR="00D7188E">
        <w:rPr>
          <w:lang w:val="hr-HR"/>
        </w:rPr>
        <w:t xml:space="preserve"> osoba</w:t>
      </w:r>
      <w:r w:rsidRPr="00774C77">
        <w:rPr>
          <w:lang w:val="hr-HR"/>
        </w:rPr>
        <w:t xml:space="preserve"> koje ne mogu čitati standardni tisak </w:t>
      </w:r>
      <w:r w:rsidR="00D7188E">
        <w:rPr>
          <w:lang w:val="hr-HR"/>
        </w:rPr>
        <w:t>i</w:t>
      </w:r>
      <w:r w:rsidRPr="00774C77">
        <w:rPr>
          <w:lang w:val="hr-HR"/>
        </w:rPr>
        <w:t xml:space="preserve"> tako pridonijeti poboljšanju kvalitete života ove skupine ljudi</w:t>
      </w:r>
      <w:r>
        <w:rPr>
          <w:lang w:val="hr-HR"/>
        </w:rPr>
        <w:t>.</w:t>
      </w:r>
    </w:p>
    <w:p w:rsidR="00F73FB6" w:rsidRDefault="00D15E81" w:rsidP="00F73FB6">
      <w:pPr>
        <w:pStyle w:val="ListParagraph"/>
        <w:numPr>
          <w:ilvl w:val="0"/>
          <w:numId w:val="1"/>
        </w:numPr>
        <w:rPr>
          <w:lang w:val="hr-HR"/>
        </w:rPr>
      </w:pPr>
      <w:r w:rsidRPr="0071056C">
        <w:rPr>
          <w:lang w:val="hr-HR"/>
        </w:rPr>
        <w:t>Predlažemo izmjenu</w:t>
      </w:r>
      <w:r w:rsidR="0071056C">
        <w:rPr>
          <w:lang w:val="hr-HR"/>
        </w:rPr>
        <w:t xml:space="preserve"> </w:t>
      </w:r>
      <w:r w:rsidR="00F73FB6">
        <w:rPr>
          <w:lang w:val="hr-HR"/>
        </w:rPr>
        <w:t>Zakon</w:t>
      </w:r>
      <w:r>
        <w:rPr>
          <w:lang w:val="hr-HR"/>
        </w:rPr>
        <w:t>a</w:t>
      </w:r>
      <w:r w:rsidR="00F73FB6">
        <w:rPr>
          <w:lang w:val="hr-HR"/>
        </w:rPr>
        <w:t xml:space="preserve"> o autorskom pravu i srodnim pravima </w:t>
      </w:r>
      <w:r w:rsidR="00F73FB6" w:rsidRPr="00F73FB6">
        <w:rPr>
          <w:lang w:val="hr-HR"/>
        </w:rPr>
        <w:t>(NN 167/03, čl. 86)</w:t>
      </w:r>
      <w:r w:rsidR="00F73FB6">
        <w:rPr>
          <w:lang w:val="hr-HR"/>
        </w:rPr>
        <w:t xml:space="preserve"> koji bi omogućio ovim osobama lakši pristup </w:t>
      </w:r>
      <w:r w:rsidR="00F73FB6" w:rsidRPr="0071056C">
        <w:rPr>
          <w:lang w:val="hr-HR"/>
        </w:rPr>
        <w:t xml:space="preserve">knjigama posebno </w:t>
      </w:r>
      <w:r w:rsidR="00F73FB6" w:rsidRPr="00BF07D0">
        <w:rPr>
          <w:lang w:val="hr-HR"/>
        </w:rPr>
        <w:t>uređenim</w:t>
      </w:r>
      <w:r w:rsidR="009935D7">
        <w:rPr>
          <w:lang w:val="hr-HR"/>
        </w:rPr>
        <w:t>a</w:t>
      </w:r>
      <w:r w:rsidR="00F73FB6" w:rsidRPr="0071056C">
        <w:rPr>
          <w:lang w:val="hr-HR"/>
        </w:rPr>
        <w:t xml:space="preserve"> za</w:t>
      </w:r>
      <w:r w:rsidR="00D7188E">
        <w:rPr>
          <w:lang w:val="hr-HR"/>
        </w:rPr>
        <w:t xml:space="preserve"> </w:t>
      </w:r>
      <w:r w:rsidR="00F73FB6" w:rsidRPr="0071056C">
        <w:rPr>
          <w:lang w:val="hr-HR"/>
        </w:rPr>
        <w:t>njih</w:t>
      </w:r>
      <w:r w:rsidR="00F73FB6" w:rsidRPr="00F672D8">
        <w:rPr>
          <w:lang w:val="hr-HR"/>
        </w:rPr>
        <w:t>.</w:t>
      </w:r>
    </w:p>
    <w:p w:rsidR="00774C77" w:rsidRDefault="00774C77" w:rsidP="00774C77">
      <w:pPr>
        <w:pStyle w:val="ListParagraph"/>
        <w:numPr>
          <w:ilvl w:val="0"/>
          <w:numId w:val="1"/>
        </w:numPr>
        <w:rPr>
          <w:lang w:val="hr-HR"/>
        </w:rPr>
      </w:pPr>
      <w:r w:rsidRPr="00774C77">
        <w:rPr>
          <w:lang w:val="hr-HR"/>
        </w:rPr>
        <w:t xml:space="preserve">Poboljšati međuinstitucionalnu suradnju stručnjaka koji se bave osobama s teškoćama </w:t>
      </w:r>
      <w:r w:rsidR="00904769">
        <w:rPr>
          <w:lang w:val="hr-HR"/>
        </w:rPr>
        <w:t>čitanja</w:t>
      </w:r>
      <w:r w:rsidR="0038073D">
        <w:rPr>
          <w:lang w:val="hr-HR"/>
        </w:rPr>
        <w:t xml:space="preserve"> </w:t>
      </w:r>
      <w:r w:rsidR="00D7188E" w:rsidRPr="00BF07D0">
        <w:rPr>
          <w:lang w:val="hr-HR"/>
        </w:rPr>
        <w:t>i disleksi</w:t>
      </w:r>
      <w:r w:rsidR="00E06273" w:rsidRPr="00BF07D0">
        <w:rPr>
          <w:lang w:val="hr-HR"/>
        </w:rPr>
        <w:t>j</w:t>
      </w:r>
      <w:r w:rsidR="00D7188E" w:rsidRPr="00BF07D0">
        <w:rPr>
          <w:lang w:val="hr-HR"/>
        </w:rPr>
        <w:t>om te</w:t>
      </w:r>
      <w:r w:rsidR="00D7188E">
        <w:rPr>
          <w:lang w:val="hr-HR"/>
        </w:rPr>
        <w:t xml:space="preserve"> </w:t>
      </w:r>
      <w:r w:rsidRPr="00774C77">
        <w:rPr>
          <w:lang w:val="hr-HR"/>
        </w:rPr>
        <w:t>osobama koje ne mogu čitati standardni tisak.</w:t>
      </w:r>
    </w:p>
    <w:p w:rsidR="00FD0B94" w:rsidRDefault="00FD0B94">
      <w:pPr>
        <w:rPr>
          <w:lang w:val="hr-HR"/>
        </w:rPr>
      </w:pPr>
    </w:p>
    <w:p w:rsidR="00682702" w:rsidRDefault="00682702">
      <w:pPr>
        <w:rPr>
          <w:lang w:val="hr-HR"/>
        </w:rPr>
      </w:pPr>
    </w:p>
    <w:p w:rsidR="003D55AC" w:rsidRDefault="003D55AC">
      <w:pPr>
        <w:rPr>
          <w:lang w:val="hr-HR"/>
        </w:rPr>
      </w:pPr>
      <w:r>
        <w:rPr>
          <w:lang w:val="hr-HR"/>
        </w:rPr>
        <w:t xml:space="preserve"> </w:t>
      </w:r>
      <w:r w:rsidR="00774C77" w:rsidRPr="00DB43AF">
        <w:rPr>
          <w:i/>
          <w:u w:val="single"/>
          <w:lang w:val="hr-HR"/>
        </w:rPr>
        <w:t>Specifični ciljevi Kampanje</w:t>
      </w:r>
    </w:p>
    <w:p w:rsidR="00682702" w:rsidRPr="00682702" w:rsidRDefault="004F4185" w:rsidP="004B40E8">
      <w:pPr>
        <w:pStyle w:val="ListParagraph"/>
        <w:numPr>
          <w:ilvl w:val="0"/>
          <w:numId w:val="2"/>
        </w:numPr>
        <w:ind w:left="360"/>
        <w:rPr>
          <w:lang w:val="hr-HR"/>
        </w:rPr>
      </w:pPr>
      <w:r w:rsidRPr="00682702">
        <w:rPr>
          <w:lang w:val="hr-HR"/>
        </w:rPr>
        <w:t>Pokrenuti</w:t>
      </w:r>
      <w:r w:rsidR="0071056C" w:rsidRPr="00682702">
        <w:rPr>
          <w:lang w:val="hr-HR"/>
        </w:rPr>
        <w:t xml:space="preserve"> </w:t>
      </w:r>
      <w:r w:rsidR="00774C77" w:rsidRPr="00682702">
        <w:rPr>
          <w:lang w:val="hr-HR"/>
        </w:rPr>
        <w:t xml:space="preserve">aktivnosti pri </w:t>
      </w:r>
      <w:r w:rsidR="00D15E81" w:rsidRPr="00682702">
        <w:rPr>
          <w:lang w:val="hr-HR"/>
        </w:rPr>
        <w:t xml:space="preserve">izmjeni </w:t>
      </w:r>
      <w:r w:rsidR="00774C77" w:rsidRPr="00682702">
        <w:rPr>
          <w:lang w:val="hr-HR"/>
        </w:rPr>
        <w:t>Zakona o autorskom pravu</w:t>
      </w:r>
      <w:r w:rsidR="00916D3A" w:rsidRPr="00682702">
        <w:rPr>
          <w:lang w:val="hr-HR"/>
        </w:rPr>
        <w:t xml:space="preserve"> i srodnim pravima</w:t>
      </w:r>
      <w:r w:rsidR="009F16D7" w:rsidRPr="00682702">
        <w:rPr>
          <w:lang w:val="hr-HR"/>
        </w:rPr>
        <w:t xml:space="preserve"> (NN 167/03, čl. 86)</w:t>
      </w:r>
      <w:r w:rsidR="00882D3E">
        <w:rPr>
          <w:lang w:val="hr-HR"/>
        </w:rPr>
        <w:t>.</w:t>
      </w:r>
      <w:r w:rsidR="009F16D7" w:rsidRPr="00682702">
        <w:rPr>
          <w:lang w:val="hr-HR"/>
        </w:rPr>
        <w:t xml:space="preserve"> </w:t>
      </w:r>
    </w:p>
    <w:p w:rsidR="009F16D7" w:rsidRPr="00682702" w:rsidRDefault="006C66D6" w:rsidP="004B40E8">
      <w:pPr>
        <w:pStyle w:val="ListParagraph"/>
        <w:numPr>
          <w:ilvl w:val="0"/>
          <w:numId w:val="2"/>
        </w:numPr>
        <w:ind w:left="360"/>
        <w:rPr>
          <w:lang w:val="hr-HR"/>
        </w:rPr>
      </w:pPr>
      <w:r w:rsidRPr="00682702">
        <w:rPr>
          <w:lang w:val="hr-HR"/>
        </w:rPr>
        <w:t>P</w:t>
      </w:r>
      <w:r w:rsidR="009F16D7" w:rsidRPr="00682702">
        <w:rPr>
          <w:lang w:val="hr-HR"/>
        </w:rPr>
        <w:t xml:space="preserve">ovećanje mreže knjižnica koje provode programe za osobe s teškoćama </w:t>
      </w:r>
      <w:r w:rsidR="00904769" w:rsidRPr="00682702">
        <w:rPr>
          <w:lang w:val="hr-HR"/>
        </w:rPr>
        <w:t>čitanja</w:t>
      </w:r>
      <w:r w:rsidR="00D7188E" w:rsidRPr="00682702">
        <w:rPr>
          <w:lang w:val="hr-HR"/>
        </w:rPr>
        <w:t>, disleksijom i programe za osobe koje ne mogu čitati standardni tisak</w:t>
      </w:r>
      <w:r w:rsidR="00882D3E">
        <w:rPr>
          <w:lang w:val="hr-HR"/>
        </w:rPr>
        <w:t>.</w:t>
      </w:r>
    </w:p>
    <w:p w:rsidR="004319E3" w:rsidRPr="00682702" w:rsidRDefault="004319E3">
      <w:pPr>
        <w:rPr>
          <w:lang w:val="hr-HR"/>
        </w:rPr>
      </w:pPr>
    </w:p>
    <w:p w:rsidR="007F78AC" w:rsidRPr="00682702" w:rsidRDefault="007F78AC">
      <w:pPr>
        <w:rPr>
          <w:lang w:val="hr-HR"/>
        </w:rPr>
      </w:pPr>
    </w:p>
    <w:p w:rsidR="00774C77" w:rsidRDefault="00774C77">
      <w:pPr>
        <w:rPr>
          <w:lang w:val="hr-HR"/>
        </w:rPr>
      </w:pPr>
      <w:r w:rsidRPr="00DB43AF">
        <w:rPr>
          <w:i/>
          <w:u w:val="single"/>
          <w:lang w:val="hr-HR"/>
        </w:rPr>
        <w:t>Cilj</w:t>
      </w:r>
      <w:r w:rsidR="00AE7AFA" w:rsidRPr="00DB43AF">
        <w:rPr>
          <w:i/>
          <w:u w:val="single"/>
          <w:lang w:val="hr-HR"/>
        </w:rPr>
        <w:t>ane skupine</w:t>
      </w:r>
      <w:r w:rsidRPr="00DB43AF">
        <w:rPr>
          <w:i/>
          <w:u w:val="single"/>
          <w:lang w:val="hr-HR"/>
        </w:rPr>
        <w:t xml:space="preserve"> Kampanje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</w:t>
      </w:r>
      <w:r w:rsidR="00766C01">
        <w:rPr>
          <w:lang w:val="hr-HR"/>
        </w:rPr>
        <w:t>jeca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</w:t>
      </w:r>
      <w:r w:rsidR="00766C01">
        <w:rPr>
          <w:lang w:val="hr-HR"/>
        </w:rPr>
        <w:t>dolescenti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</w:t>
      </w:r>
      <w:r w:rsidR="00766C01">
        <w:rPr>
          <w:lang w:val="hr-HR"/>
        </w:rPr>
        <w:t xml:space="preserve">drasli s teškoćama </w:t>
      </w:r>
      <w:r w:rsidR="00904769">
        <w:rPr>
          <w:lang w:val="hr-HR"/>
        </w:rPr>
        <w:t>čitanja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r</w:t>
      </w:r>
      <w:r w:rsidR="00766C01">
        <w:rPr>
          <w:lang w:val="hr-HR"/>
        </w:rPr>
        <w:t>oditelji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</w:t>
      </w:r>
      <w:r w:rsidR="00766C01">
        <w:rPr>
          <w:lang w:val="hr-HR"/>
        </w:rPr>
        <w:t>bitelji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l</w:t>
      </w:r>
      <w:r w:rsidR="00766C01">
        <w:rPr>
          <w:lang w:val="hr-HR"/>
        </w:rPr>
        <w:t>ogopedi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</w:t>
      </w:r>
      <w:r w:rsidR="00766C01">
        <w:rPr>
          <w:lang w:val="hr-HR"/>
        </w:rPr>
        <w:t>njižničari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</w:t>
      </w:r>
      <w:r w:rsidR="00087372">
        <w:rPr>
          <w:lang w:val="hr-HR"/>
        </w:rPr>
        <w:t>dgojitelji, u</w:t>
      </w:r>
      <w:r w:rsidR="00766C01">
        <w:rPr>
          <w:lang w:val="hr-HR"/>
        </w:rPr>
        <w:t>čitelji i stručni suradnici u</w:t>
      </w:r>
      <w:r w:rsidR="007F78AC">
        <w:rPr>
          <w:lang w:val="hr-HR"/>
        </w:rPr>
        <w:t xml:space="preserve"> predškolskim ustanovama, </w:t>
      </w:r>
      <w:r w:rsidR="00766C01">
        <w:rPr>
          <w:lang w:val="hr-HR"/>
        </w:rPr>
        <w:t>osnovnom i srednjem školstvu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</w:t>
      </w:r>
      <w:r w:rsidR="00766C01">
        <w:rPr>
          <w:lang w:val="hr-HR"/>
        </w:rPr>
        <w:t>astavno osoblje u visokoškolskim ustanovama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z</w:t>
      </w:r>
      <w:r w:rsidR="00766C01">
        <w:rPr>
          <w:lang w:val="hr-HR"/>
        </w:rPr>
        <w:t>dravstveni djelatnici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</w:t>
      </w:r>
      <w:r w:rsidR="00766C01">
        <w:rPr>
          <w:lang w:val="hr-HR"/>
        </w:rPr>
        <w:t>ocijalni radnici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</w:t>
      </w:r>
      <w:r w:rsidR="00766C01">
        <w:rPr>
          <w:lang w:val="hr-HR"/>
        </w:rPr>
        <w:t>olonteri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</w:t>
      </w:r>
      <w:r w:rsidR="00766C01">
        <w:rPr>
          <w:lang w:val="hr-HR"/>
        </w:rPr>
        <w:t>akladnici</w:t>
      </w:r>
    </w:p>
    <w:p w:rsid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</w:t>
      </w:r>
      <w:r w:rsidR="00766C01">
        <w:rPr>
          <w:lang w:val="hr-HR"/>
        </w:rPr>
        <w:t>oslodavci</w:t>
      </w:r>
    </w:p>
    <w:p w:rsidR="00766C01" w:rsidRPr="00766C01" w:rsidRDefault="00564070" w:rsidP="00766C0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</w:t>
      </w:r>
      <w:r w:rsidR="00766C01" w:rsidRPr="00766C01">
        <w:rPr>
          <w:lang w:val="hr-HR"/>
        </w:rPr>
        <w:t>v</w:t>
      </w:r>
      <w:r>
        <w:rPr>
          <w:lang w:val="hr-HR"/>
        </w:rPr>
        <w:t xml:space="preserve">e osobe </w:t>
      </w:r>
      <w:r w:rsidR="00766C01" w:rsidRPr="00766C01">
        <w:rPr>
          <w:lang w:val="hr-HR"/>
        </w:rPr>
        <w:t>koj</w:t>
      </w:r>
      <w:r>
        <w:rPr>
          <w:lang w:val="hr-HR"/>
        </w:rPr>
        <w:t>e</w:t>
      </w:r>
      <w:r w:rsidR="00766C01" w:rsidRPr="00766C01">
        <w:rPr>
          <w:lang w:val="hr-HR"/>
        </w:rPr>
        <w:t xml:space="preserve"> su na bilo koji način zainteresiran</w:t>
      </w:r>
      <w:r>
        <w:rPr>
          <w:lang w:val="hr-HR"/>
        </w:rPr>
        <w:t>e</w:t>
      </w:r>
      <w:r w:rsidR="00766C01" w:rsidRPr="00766C01">
        <w:rPr>
          <w:lang w:val="hr-HR"/>
        </w:rPr>
        <w:t xml:space="preserve"> za problematiku koja je obuhvaćena </w:t>
      </w:r>
      <w:r w:rsidR="006C66D6">
        <w:rPr>
          <w:lang w:val="hr-HR"/>
        </w:rPr>
        <w:t>K</w:t>
      </w:r>
      <w:r w:rsidR="00766C01" w:rsidRPr="00766C01">
        <w:rPr>
          <w:lang w:val="hr-HR"/>
        </w:rPr>
        <w:t>ampanjom</w:t>
      </w:r>
    </w:p>
    <w:p w:rsidR="00766C01" w:rsidRPr="00766C01" w:rsidRDefault="00766C01" w:rsidP="00766C01">
      <w:pPr>
        <w:pStyle w:val="ListParagraph"/>
        <w:rPr>
          <w:lang w:val="hr-HR"/>
        </w:rPr>
      </w:pPr>
    </w:p>
    <w:p w:rsidR="00B25484" w:rsidRDefault="00B25484" w:rsidP="00AE7AFA">
      <w:pPr>
        <w:rPr>
          <w:lang w:val="hr-HR"/>
        </w:rPr>
      </w:pPr>
    </w:p>
    <w:p w:rsidR="0071056C" w:rsidRPr="0071056C" w:rsidRDefault="0071056C" w:rsidP="0071056C">
      <w:pPr>
        <w:rPr>
          <w:i/>
          <w:u w:val="single"/>
          <w:lang w:val="hr-HR"/>
        </w:rPr>
      </w:pPr>
      <w:r w:rsidRPr="0071056C">
        <w:rPr>
          <w:i/>
          <w:u w:val="single"/>
          <w:lang w:val="hr-HR"/>
        </w:rPr>
        <w:t>Pokroviteljstvo</w:t>
      </w:r>
    </w:p>
    <w:p w:rsidR="0071056C" w:rsidRPr="0071056C" w:rsidRDefault="0071056C" w:rsidP="0071056C">
      <w:pPr>
        <w:rPr>
          <w:lang w:val="hr-HR"/>
        </w:rPr>
      </w:pPr>
      <w:r w:rsidRPr="0071056C">
        <w:rPr>
          <w:lang w:val="hr-HR"/>
        </w:rPr>
        <w:t>Predsjednica Republike Hrvatske</w:t>
      </w:r>
      <w:r>
        <w:rPr>
          <w:lang w:val="hr-HR"/>
        </w:rPr>
        <w:t xml:space="preserve"> </w:t>
      </w:r>
    </w:p>
    <w:p w:rsidR="0071056C" w:rsidRPr="00766C01" w:rsidRDefault="0071056C" w:rsidP="00AE7AFA">
      <w:pPr>
        <w:rPr>
          <w:lang w:val="hr-HR"/>
        </w:rPr>
      </w:pPr>
    </w:p>
    <w:p w:rsidR="00AE7AFA" w:rsidRPr="00DB43AF" w:rsidRDefault="00AE7AFA" w:rsidP="00FD0B94">
      <w:pPr>
        <w:jc w:val="both"/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Financiranje kampanje</w:t>
      </w:r>
    </w:p>
    <w:p w:rsidR="00AE7AFA" w:rsidRDefault="00AE7AFA" w:rsidP="00FD0B94">
      <w:pPr>
        <w:jc w:val="both"/>
      </w:pPr>
      <w:r w:rsidRPr="00AE7AFA">
        <w:rPr>
          <w:lang w:val="hr-HR"/>
        </w:rPr>
        <w:t>Financijeri:</w:t>
      </w:r>
      <w:r w:rsidRPr="00AE7AFA">
        <w:t xml:space="preserve"> </w:t>
      </w:r>
      <w:r w:rsidRPr="00AE7AFA">
        <w:rPr>
          <w:lang w:val="hr-HR"/>
        </w:rPr>
        <w:t>Ministarstvo kulture RH,</w:t>
      </w:r>
      <w:r w:rsidRPr="00AE7AFA">
        <w:t xml:space="preserve"> </w:t>
      </w:r>
      <w:r w:rsidRPr="00AE7AFA">
        <w:rPr>
          <w:lang w:val="hr-HR"/>
        </w:rPr>
        <w:t>Ministarstvo znanosti, obrazovanja i sporta</w:t>
      </w:r>
      <w:r>
        <w:rPr>
          <w:lang w:val="hr-HR"/>
        </w:rPr>
        <w:t xml:space="preserve"> RH, </w:t>
      </w:r>
      <w:r w:rsidR="00C960FF">
        <w:rPr>
          <w:lang w:val="hr-HR"/>
        </w:rPr>
        <w:t xml:space="preserve">Grad Zagreb - </w:t>
      </w:r>
      <w:r w:rsidRPr="00AE7AFA">
        <w:rPr>
          <w:lang w:val="hr-HR"/>
        </w:rPr>
        <w:t>Gradski ured za obrazovanje, kulturu i sport,</w:t>
      </w:r>
      <w:r w:rsidRPr="00AE7AFA">
        <w:t xml:space="preserve"> </w:t>
      </w:r>
      <w:proofErr w:type="spellStart"/>
      <w:r w:rsidR="002649CF">
        <w:t>te</w:t>
      </w:r>
      <w:proofErr w:type="spellEnd"/>
      <w:r w:rsidR="002649CF">
        <w:t xml:space="preserve"> </w:t>
      </w:r>
      <w:proofErr w:type="spellStart"/>
      <w:r w:rsidR="002649CF">
        <w:t>ostali</w:t>
      </w:r>
      <w:proofErr w:type="spellEnd"/>
      <w:r w:rsidR="002649CF">
        <w:t xml:space="preserve"> </w:t>
      </w:r>
      <w:proofErr w:type="spellStart"/>
      <w:r w:rsidR="006C66D6">
        <w:t>g</w:t>
      </w:r>
      <w:r w:rsidR="002649CF">
        <w:t>radovi</w:t>
      </w:r>
      <w:proofErr w:type="spellEnd"/>
      <w:r w:rsidR="00D7188E" w:rsidRPr="00C960FF">
        <w:t>/</w:t>
      </w:r>
      <w:proofErr w:type="spellStart"/>
      <w:r w:rsidR="00D7188E" w:rsidRPr="00C960FF">
        <w:t>gradske</w:t>
      </w:r>
      <w:proofErr w:type="spellEnd"/>
      <w:r w:rsidR="00D7188E" w:rsidRPr="00C960FF">
        <w:t xml:space="preserve"> </w:t>
      </w:r>
      <w:proofErr w:type="spellStart"/>
      <w:r w:rsidR="00D7188E" w:rsidRPr="00C960FF">
        <w:t>službe</w:t>
      </w:r>
      <w:proofErr w:type="spellEnd"/>
      <w:r w:rsidR="002649CF">
        <w:t xml:space="preserve"> </w:t>
      </w:r>
      <w:r w:rsidR="00C960FF">
        <w:t xml:space="preserve">u </w:t>
      </w:r>
      <w:proofErr w:type="spellStart"/>
      <w:r w:rsidR="00C960FF">
        <w:t>Republici</w:t>
      </w:r>
      <w:proofErr w:type="spellEnd"/>
      <w:r w:rsidR="00C960FF">
        <w:t xml:space="preserve"> </w:t>
      </w:r>
      <w:proofErr w:type="spellStart"/>
      <w:r w:rsidR="00C960FF">
        <w:t>Hrvatskoj</w:t>
      </w:r>
      <w:proofErr w:type="spellEnd"/>
      <w:r w:rsidR="00C960FF">
        <w:t>.</w:t>
      </w:r>
    </w:p>
    <w:p w:rsidR="00AE7AFA" w:rsidRDefault="00AE7AFA" w:rsidP="00FD0B94">
      <w:pPr>
        <w:jc w:val="both"/>
      </w:pPr>
    </w:p>
    <w:p w:rsidR="002649CF" w:rsidRDefault="00AE7AFA" w:rsidP="00FD0B94">
      <w:pPr>
        <w:jc w:val="both"/>
        <w:rPr>
          <w:i/>
          <w:u w:val="single"/>
        </w:rPr>
      </w:pPr>
      <w:proofErr w:type="spellStart"/>
      <w:proofErr w:type="gramStart"/>
      <w:r w:rsidRPr="00DB43AF">
        <w:rPr>
          <w:i/>
          <w:u w:val="single"/>
        </w:rPr>
        <w:t>Tko</w:t>
      </w:r>
      <w:proofErr w:type="spellEnd"/>
      <w:proofErr w:type="gramEnd"/>
      <w:r w:rsidRPr="00DB43AF">
        <w:rPr>
          <w:i/>
          <w:u w:val="single"/>
        </w:rPr>
        <w:t xml:space="preserve"> </w:t>
      </w:r>
      <w:proofErr w:type="spellStart"/>
      <w:r w:rsidRPr="00DB43AF">
        <w:rPr>
          <w:i/>
          <w:u w:val="single"/>
        </w:rPr>
        <w:t>vodi</w:t>
      </w:r>
      <w:proofErr w:type="spellEnd"/>
      <w:r w:rsidRPr="00DB43AF">
        <w:rPr>
          <w:i/>
          <w:u w:val="single"/>
        </w:rPr>
        <w:t xml:space="preserve"> </w:t>
      </w:r>
      <w:proofErr w:type="spellStart"/>
      <w:r w:rsidRPr="00DB43AF">
        <w:rPr>
          <w:i/>
          <w:u w:val="single"/>
        </w:rPr>
        <w:t>Kampanju</w:t>
      </w:r>
      <w:proofErr w:type="spellEnd"/>
    </w:p>
    <w:p w:rsidR="00461FFE" w:rsidRDefault="00461FFE" w:rsidP="00FD0B94">
      <w:pPr>
        <w:jc w:val="both"/>
        <w:rPr>
          <w:lang w:val="hr-HR"/>
        </w:rPr>
      </w:pPr>
      <w:r>
        <w:rPr>
          <w:lang w:val="hr-HR"/>
        </w:rPr>
        <w:t xml:space="preserve">Voditelj Kampanje: </w:t>
      </w:r>
      <w:r w:rsidR="00AE7AFA" w:rsidRPr="00AE7AFA">
        <w:rPr>
          <w:lang w:val="hr-HR"/>
        </w:rPr>
        <w:t xml:space="preserve">Hrvatsko knjižničarsko društvo - Komisija za knjižnične usluge za osobe s </w:t>
      </w:r>
      <w:r>
        <w:rPr>
          <w:lang w:val="hr-HR"/>
        </w:rPr>
        <w:t xml:space="preserve">invaliditetom i osobe s </w:t>
      </w:r>
      <w:r w:rsidR="00AE7AFA" w:rsidRPr="00AE7AFA">
        <w:rPr>
          <w:lang w:val="hr-HR"/>
        </w:rPr>
        <w:t>posebnim potrebama</w:t>
      </w:r>
    </w:p>
    <w:p w:rsidR="00F50352" w:rsidRDefault="00461FFE" w:rsidP="00F50352">
      <w:pPr>
        <w:spacing w:after="0"/>
        <w:jc w:val="both"/>
        <w:rPr>
          <w:lang w:val="hr-HR"/>
        </w:rPr>
      </w:pPr>
      <w:r>
        <w:rPr>
          <w:lang w:val="hr-HR"/>
        </w:rPr>
        <w:t xml:space="preserve">Suvoditelji Kampanje: </w:t>
      </w:r>
    </w:p>
    <w:p w:rsidR="00F50352" w:rsidRDefault="00114205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HKD </w:t>
      </w:r>
      <w:r w:rsidR="00930DC3">
        <w:rPr>
          <w:lang w:val="hr-HR"/>
        </w:rPr>
        <w:t>Sekcija za narodne knjižnice (</w:t>
      </w:r>
      <w:r w:rsidR="00AE7AFA" w:rsidRPr="00AE7AFA">
        <w:rPr>
          <w:lang w:val="hr-HR"/>
        </w:rPr>
        <w:t>Komisija za čitanje</w:t>
      </w:r>
      <w:r w:rsidR="00930DC3">
        <w:rPr>
          <w:lang w:val="hr-HR"/>
        </w:rPr>
        <w:t xml:space="preserve">, </w:t>
      </w:r>
      <w:r w:rsidR="00AE7AFA" w:rsidRPr="00AE7AFA">
        <w:rPr>
          <w:lang w:val="hr-HR"/>
        </w:rPr>
        <w:t>Komisij</w:t>
      </w:r>
      <w:r w:rsidR="00930DC3">
        <w:rPr>
          <w:lang w:val="hr-HR"/>
        </w:rPr>
        <w:t>a</w:t>
      </w:r>
      <w:r w:rsidR="00AE7AFA" w:rsidRPr="00AE7AFA">
        <w:rPr>
          <w:lang w:val="hr-HR"/>
        </w:rPr>
        <w:t xml:space="preserve"> za narodne knjižnice, Komisij</w:t>
      </w:r>
      <w:r w:rsidR="00930DC3">
        <w:rPr>
          <w:lang w:val="hr-HR"/>
        </w:rPr>
        <w:t>a</w:t>
      </w:r>
      <w:r w:rsidR="00AE7AFA" w:rsidRPr="00AE7AFA">
        <w:rPr>
          <w:lang w:val="hr-HR"/>
        </w:rPr>
        <w:t xml:space="preserve"> za knjižnične usluge za djecu i mladež</w:t>
      </w:r>
      <w:r w:rsidR="00930DC3">
        <w:rPr>
          <w:lang w:val="hr-HR"/>
        </w:rPr>
        <w:t>)</w:t>
      </w:r>
    </w:p>
    <w:p w:rsidR="00F50352" w:rsidRDefault="00114205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HKD </w:t>
      </w:r>
      <w:r w:rsidR="00AE7AFA" w:rsidRPr="00AE7AFA">
        <w:rPr>
          <w:lang w:val="hr-HR"/>
        </w:rPr>
        <w:t>Sekcij</w:t>
      </w:r>
      <w:r w:rsidR="00930DC3">
        <w:rPr>
          <w:lang w:val="hr-HR"/>
        </w:rPr>
        <w:t xml:space="preserve">a </w:t>
      </w:r>
      <w:r w:rsidR="00AE7AFA" w:rsidRPr="00AE7AFA">
        <w:rPr>
          <w:lang w:val="hr-HR"/>
        </w:rPr>
        <w:t>za školske knjižnice</w:t>
      </w:r>
    </w:p>
    <w:p w:rsidR="00F50352" w:rsidRDefault="00114205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>
        <w:rPr>
          <w:lang w:val="hr-HR"/>
        </w:rPr>
        <w:lastRenderedPageBreak/>
        <w:t xml:space="preserve">HKD </w:t>
      </w:r>
      <w:r w:rsidR="00AE7AFA" w:rsidRPr="00AE7AFA">
        <w:rPr>
          <w:lang w:val="hr-HR"/>
        </w:rPr>
        <w:t>Komisij</w:t>
      </w:r>
      <w:r w:rsidR="00930DC3">
        <w:rPr>
          <w:lang w:val="hr-HR"/>
        </w:rPr>
        <w:t>a</w:t>
      </w:r>
      <w:r w:rsidR="00AE7AFA" w:rsidRPr="00AE7AFA">
        <w:rPr>
          <w:lang w:val="hr-HR"/>
        </w:rPr>
        <w:t xml:space="preserve"> za au</w:t>
      </w:r>
      <w:r w:rsidR="00597FF1">
        <w:rPr>
          <w:lang w:val="hr-HR"/>
        </w:rPr>
        <w:t>torsko pravo i otvoreni pristup</w:t>
      </w:r>
    </w:p>
    <w:p w:rsidR="00F50352" w:rsidRDefault="00114205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HKD </w:t>
      </w:r>
      <w:r w:rsidR="00832622">
        <w:rPr>
          <w:lang w:val="hr-HR"/>
        </w:rPr>
        <w:t>Komisij</w:t>
      </w:r>
      <w:r w:rsidR="00930DC3">
        <w:rPr>
          <w:lang w:val="hr-HR"/>
        </w:rPr>
        <w:t>a</w:t>
      </w:r>
      <w:r w:rsidR="00832622">
        <w:rPr>
          <w:lang w:val="hr-HR"/>
        </w:rPr>
        <w:t xml:space="preserve"> za upravljanje</w:t>
      </w:r>
    </w:p>
    <w:p w:rsidR="00F50352" w:rsidRDefault="00AE7AFA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 w:rsidRPr="00AE7AFA">
        <w:rPr>
          <w:lang w:val="hr-HR"/>
        </w:rPr>
        <w:t>Knjižnic</w:t>
      </w:r>
      <w:r w:rsidR="00930DC3">
        <w:rPr>
          <w:lang w:val="hr-HR"/>
        </w:rPr>
        <w:t xml:space="preserve">e </w:t>
      </w:r>
      <w:r w:rsidRPr="00AE7AFA">
        <w:rPr>
          <w:lang w:val="hr-HR"/>
        </w:rPr>
        <w:t>grada Zagreba</w:t>
      </w:r>
      <w:r w:rsidR="00D96048">
        <w:rPr>
          <w:lang w:val="hr-HR"/>
        </w:rPr>
        <w:t xml:space="preserve"> (KGZ)</w:t>
      </w:r>
    </w:p>
    <w:p w:rsidR="00AE7AFA" w:rsidRDefault="00AE7AFA" w:rsidP="00597FF1">
      <w:pPr>
        <w:numPr>
          <w:ilvl w:val="0"/>
          <w:numId w:val="12"/>
        </w:numPr>
        <w:spacing w:after="0"/>
        <w:jc w:val="both"/>
        <w:rPr>
          <w:lang w:val="hr-HR"/>
        </w:rPr>
      </w:pPr>
      <w:r w:rsidRPr="00AE7AFA">
        <w:rPr>
          <w:lang w:val="hr-HR"/>
        </w:rPr>
        <w:t xml:space="preserve">Nacionalna i </w:t>
      </w:r>
      <w:r w:rsidR="00D96048">
        <w:rPr>
          <w:lang w:val="hr-HR"/>
        </w:rPr>
        <w:t>sveučilišna knjižnica u Zagrebu (NSK)</w:t>
      </w:r>
    </w:p>
    <w:p w:rsidR="007C3EC1" w:rsidRDefault="007C3EC1" w:rsidP="00FD0B94">
      <w:pPr>
        <w:jc w:val="both"/>
        <w:rPr>
          <w:lang w:val="hr-HR"/>
        </w:rPr>
      </w:pPr>
    </w:p>
    <w:p w:rsidR="00A54FFB" w:rsidRDefault="00AE7AFA" w:rsidP="0038073D">
      <w:pPr>
        <w:jc w:val="both"/>
        <w:rPr>
          <w:lang w:val="hr-HR"/>
        </w:rPr>
      </w:pPr>
      <w:r>
        <w:rPr>
          <w:lang w:val="hr-HR"/>
        </w:rPr>
        <w:t xml:space="preserve">Partneri: </w:t>
      </w:r>
    </w:p>
    <w:p w:rsidR="003F46B1" w:rsidRPr="00C40C8D" w:rsidRDefault="003F46B1" w:rsidP="003F46B1">
      <w:pPr>
        <w:jc w:val="both"/>
        <w:rPr>
          <w:lang w:val="hr-HR"/>
        </w:rPr>
      </w:pPr>
      <w:r w:rsidRPr="00C40C8D">
        <w:rPr>
          <w:lang w:val="hr-HR"/>
        </w:rPr>
        <w:t>Edukacijsko-rehabilitacijski fakultet</w:t>
      </w:r>
      <w:r>
        <w:rPr>
          <w:lang w:val="hr-HR"/>
        </w:rPr>
        <w:t xml:space="preserve"> u Zagrebu (Odsjek za logopediju), </w:t>
      </w:r>
      <w:r w:rsidRPr="00C40C8D">
        <w:rPr>
          <w:lang w:val="hr-HR"/>
        </w:rPr>
        <w:t xml:space="preserve">Pravni fakultet u Zagrebu, Pravni fakultet u Splitu, Filozofski fakultet u Zagrebu (Odsjek za informacijske i komunikacijske znanosti), Učiteljski fakultet u Zagrebu, Kineziološki fakultet u Zagrebu, </w:t>
      </w:r>
      <w:r>
        <w:rPr>
          <w:lang w:val="hr-HR"/>
        </w:rPr>
        <w:t xml:space="preserve">Poliklinika </w:t>
      </w:r>
      <w:r w:rsidRPr="00C40C8D">
        <w:rPr>
          <w:lang w:val="hr-HR"/>
        </w:rPr>
        <w:t>SUVAG, Hrvatska knjižnica za slijepe,</w:t>
      </w:r>
      <w:r w:rsidRPr="00C40C8D">
        <w:t xml:space="preserve"> </w:t>
      </w:r>
      <w:r w:rsidRPr="00C40C8D">
        <w:rPr>
          <w:lang w:val="hr-HR"/>
        </w:rPr>
        <w:t>Tiflološki muzej,</w:t>
      </w:r>
      <w:r>
        <w:rPr>
          <w:lang w:val="hr-HR"/>
        </w:rPr>
        <w:t xml:space="preserve"> </w:t>
      </w:r>
      <w:r w:rsidRPr="00C40C8D">
        <w:rPr>
          <w:lang w:val="hr-HR"/>
        </w:rPr>
        <w:t xml:space="preserve">Ured pravobraniteljice za osobe s invaliditetom, </w:t>
      </w:r>
      <w:r>
        <w:rPr>
          <w:lang w:val="hr-HR"/>
        </w:rPr>
        <w:t xml:space="preserve">Ured pravobraniteljice za djecu, Grad Zagreb - </w:t>
      </w:r>
      <w:r w:rsidRPr="00C40C8D">
        <w:rPr>
          <w:lang w:val="hr-HR"/>
        </w:rPr>
        <w:t>Gradski ured za socijalnu zaštitu i osobe s invaliditetom</w:t>
      </w:r>
      <w:r>
        <w:rPr>
          <w:lang w:val="hr-HR"/>
        </w:rPr>
        <w:t xml:space="preserve"> i </w:t>
      </w:r>
      <w:r w:rsidRPr="00C40C8D">
        <w:rPr>
          <w:lang w:val="hr-HR"/>
        </w:rPr>
        <w:t xml:space="preserve">Gradski ured za obrazovanje, kulturu i sport, Hrvatsko logopedsko društvo, Hrvatska udruga za disleksiju, Hrvatsko čitateljsko društvo, Hrvatska udruga školskih knjižničara, </w:t>
      </w:r>
      <w:proofErr w:type="spellStart"/>
      <w:r w:rsidRPr="00C40C8D">
        <w:t>Hrvatska</w:t>
      </w:r>
      <w:proofErr w:type="spellEnd"/>
      <w:r w:rsidRPr="00C40C8D">
        <w:t xml:space="preserve"> </w:t>
      </w:r>
      <w:proofErr w:type="spellStart"/>
      <w:r w:rsidRPr="00C40C8D">
        <w:t>udruga</w:t>
      </w:r>
      <w:proofErr w:type="spellEnd"/>
      <w:r w:rsidRPr="00C40C8D">
        <w:t xml:space="preserve"> </w:t>
      </w:r>
      <w:proofErr w:type="spellStart"/>
      <w:r w:rsidRPr="00C40C8D">
        <w:t>za</w:t>
      </w:r>
      <w:proofErr w:type="spellEnd"/>
      <w:r w:rsidRPr="00C40C8D">
        <w:t xml:space="preserve"> </w:t>
      </w:r>
      <w:proofErr w:type="spellStart"/>
      <w:r w:rsidRPr="00C40C8D">
        <w:t>Alzheimerovu</w:t>
      </w:r>
      <w:proofErr w:type="spellEnd"/>
      <w:r w:rsidRPr="00C40C8D">
        <w:t xml:space="preserve"> </w:t>
      </w:r>
      <w:proofErr w:type="spellStart"/>
      <w:r w:rsidRPr="00C40C8D">
        <w:t>bolest</w:t>
      </w:r>
      <w:proofErr w:type="spellEnd"/>
      <w:r w:rsidRPr="00C40C8D">
        <w:t xml:space="preserve">, </w:t>
      </w:r>
      <w:r w:rsidRPr="00C40C8D">
        <w:rPr>
          <w:lang w:val="hr-HR"/>
        </w:rPr>
        <w:t>Zaklada „Čujem, vidim, vjerujem“,</w:t>
      </w:r>
      <w:r w:rsidRPr="00C40C8D">
        <w:t xml:space="preserve"> </w:t>
      </w:r>
      <w:r w:rsidRPr="00C40C8D">
        <w:rPr>
          <w:lang w:val="hr-HR"/>
        </w:rPr>
        <w:t xml:space="preserve">Udruga za osobe s disleksijom Dyxy, predstavnici raznih udruga osoba s invaliditetom, Savez edukacijskih rehabilitatora Hrvatske, Udruga edukacijskih rehabilitatora Grada Zagreba, </w:t>
      </w:r>
      <w:r w:rsidR="001C61BB">
        <w:t xml:space="preserve">Z1 </w:t>
      </w:r>
      <w:proofErr w:type="spellStart"/>
      <w:r w:rsidR="001C61BB">
        <w:t>Televizija</w:t>
      </w:r>
      <w:proofErr w:type="spellEnd"/>
      <w:r w:rsidR="001C61BB">
        <w:t xml:space="preserve">, </w:t>
      </w:r>
      <w:r>
        <w:rPr>
          <w:lang w:val="hr-HR"/>
        </w:rPr>
        <w:t xml:space="preserve">Matica hrvatska, Ibis grafika, </w:t>
      </w:r>
      <w:r w:rsidRPr="00C40C8D">
        <w:rPr>
          <w:lang w:val="hr-HR"/>
        </w:rPr>
        <w:t xml:space="preserve">Volonterski centar Zagreb, </w:t>
      </w:r>
      <w:r>
        <w:rPr>
          <w:lang w:val="hr-HR"/>
        </w:rPr>
        <w:t>v</w:t>
      </w:r>
      <w:r w:rsidRPr="00C40C8D">
        <w:rPr>
          <w:lang w:val="hr-HR"/>
        </w:rPr>
        <w:t xml:space="preserve">olonterski centri </w:t>
      </w:r>
      <w:r>
        <w:rPr>
          <w:lang w:val="hr-HR"/>
        </w:rPr>
        <w:t xml:space="preserve">u </w:t>
      </w:r>
      <w:r w:rsidRPr="00C40C8D">
        <w:rPr>
          <w:lang w:val="hr-HR"/>
        </w:rPr>
        <w:t>Osijek</w:t>
      </w:r>
      <w:r>
        <w:rPr>
          <w:lang w:val="hr-HR"/>
        </w:rPr>
        <w:t>u</w:t>
      </w:r>
      <w:r w:rsidRPr="00C40C8D">
        <w:rPr>
          <w:lang w:val="hr-HR"/>
        </w:rPr>
        <w:t>, Rije</w:t>
      </w:r>
      <w:r>
        <w:rPr>
          <w:lang w:val="hr-HR"/>
        </w:rPr>
        <w:t>ci</w:t>
      </w:r>
      <w:r w:rsidRPr="00C40C8D">
        <w:rPr>
          <w:lang w:val="hr-HR"/>
        </w:rPr>
        <w:t>, Split</w:t>
      </w:r>
      <w:r>
        <w:rPr>
          <w:lang w:val="hr-HR"/>
        </w:rPr>
        <w:t>u</w:t>
      </w:r>
      <w:r w:rsidRPr="00C40C8D">
        <w:rPr>
          <w:lang w:val="hr-HR"/>
        </w:rPr>
        <w:t>, Zadr</w:t>
      </w:r>
      <w:r>
        <w:rPr>
          <w:lang w:val="hr-HR"/>
        </w:rPr>
        <w:t>u</w:t>
      </w:r>
      <w:r w:rsidRPr="00C40C8D">
        <w:rPr>
          <w:lang w:val="hr-HR"/>
        </w:rPr>
        <w:t>, Karlovc</w:t>
      </w:r>
      <w:r>
        <w:rPr>
          <w:lang w:val="hr-HR"/>
        </w:rPr>
        <w:t>u</w:t>
      </w:r>
      <w:r w:rsidRPr="00C40C8D">
        <w:rPr>
          <w:lang w:val="hr-HR"/>
        </w:rPr>
        <w:t>, Dubrovnik</w:t>
      </w:r>
      <w:r>
        <w:rPr>
          <w:lang w:val="hr-HR"/>
        </w:rPr>
        <w:t>u</w:t>
      </w:r>
      <w:r w:rsidRPr="00C40C8D">
        <w:rPr>
          <w:lang w:val="hr-HR"/>
        </w:rPr>
        <w:t>, Sisk</w:t>
      </w:r>
      <w:r>
        <w:rPr>
          <w:lang w:val="hr-HR"/>
        </w:rPr>
        <w:t>u</w:t>
      </w:r>
      <w:r w:rsidRPr="00C40C8D">
        <w:rPr>
          <w:lang w:val="hr-HR"/>
        </w:rPr>
        <w:t>, Čakovc</w:t>
      </w:r>
      <w:r>
        <w:rPr>
          <w:lang w:val="hr-HR"/>
        </w:rPr>
        <w:t>u</w:t>
      </w:r>
      <w:r w:rsidRPr="00C40C8D">
        <w:rPr>
          <w:lang w:val="hr-HR"/>
        </w:rPr>
        <w:t>, Slavonsk</w:t>
      </w:r>
      <w:r>
        <w:rPr>
          <w:lang w:val="hr-HR"/>
        </w:rPr>
        <w:t>om</w:t>
      </w:r>
      <w:r w:rsidRPr="00C40C8D">
        <w:rPr>
          <w:lang w:val="hr-HR"/>
        </w:rPr>
        <w:t xml:space="preserve"> Brod</w:t>
      </w:r>
      <w:r>
        <w:rPr>
          <w:lang w:val="hr-HR"/>
        </w:rPr>
        <w:t>u</w:t>
      </w:r>
      <w:r w:rsidRPr="00C40C8D">
        <w:rPr>
          <w:lang w:val="hr-HR"/>
        </w:rPr>
        <w:t>.</w:t>
      </w:r>
    </w:p>
    <w:p w:rsidR="0038073D" w:rsidRDefault="0038073D" w:rsidP="0038073D">
      <w:pPr>
        <w:spacing w:line="240" w:lineRule="auto"/>
        <w:jc w:val="both"/>
        <w:rPr>
          <w:lang w:val="hr-HR"/>
        </w:rPr>
      </w:pPr>
    </w:p>
    <w:p w:rsidR="00712DAF" w:rsidRDefault="00712DAF" w:rsidP="00AE7AFA">
      <w:pPr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Ključn</w:t>
      </w:r>
      <w:r w:rsidR="003C0E95">
        <w:rPr>
          <w:i/>
          <w:u w:val="single"/>
          <w:lang w:val="hr-HR"/>
        </w:rPr>
        <w:t>a</w:t>
      </w:r>
      <w:r w:rsidRPr="00DB43AF">
        <w:rPr>
          <w:i/>
          <w:u w:val="single"/>
          <w:lang w:val="hr-HR"/>
        </w:rPr>
        <w:t xml:space="preserve"> poruk</w:t>
      </w:r>
      <w:r w:rsidR="003C0E95">
        <w:rPr>
          <w:i/>
          <w:u w:val="single"/>
          <w:lang w:val="hr-HR"/>
        </w:rPr>
        <w:t>a</w:t>
      </w:r>
      <w:r w:rsidRPr="00DB43AF">
        <w:rPr>
          <w:i/>
          <w:u w:val="single"/>
          <w:lang w:val="hr-HR"/>
        </w:rPr>
        <w:t xml:space="preserve"> kampanje</w:t>
      </w:r>
    </w:p>
    <w:p w:rsidR="00BE17CB" w:rsidRPr="002649CF" w:rsidRDefault="00BE17CB" w:rsidP="002649CF">
      <w:pPr>
        <w:rPr>
          <w:b/>
          <w:lang w:val="hr-HR"/>
        </w:rPr>
      </w:pPr>
      <w:r w:rsidRPr="00BE17CB">
        <w:rPr>
          <w:b/>
          <w:lang w:val="hr-HR"/>
        </w:rPr>
        <w:t>Imate li teškoće s čitanjem? Dobro došli u knjižnicu!</w:t>
      </w:r>
    </w:p>
    <w:p w:rsidR="001B6BA2" w:rsidRDefault="001B6BA2" w:rsidP="00D15E81">
      <w:pPr>
        <w:jc w:val="both"/>
        <w:rPr>
          <w:lang w:val="hr-HR"/>
        </w:rPr>
      </w:pPr>
    </w:p>
    <w:p w:rsidR="00087372" w:rsidRDefault="00D15E81" w:rsidP="00D15E81">
      <w:pPr>
        <w:jc w:val="both"/>
        <w:rPr>
          <w:lang w:val="hr-HR"/>
        </w:rPr>
      </w:pPr>
      <w:r w:rsidRPr="00D15E81">
        <w:rPr>
          <w:lang w:val="hr-HR"/>
        </w:rPr>
        <w:t xml:space="preserve">Procjenjuje se da oko </w:t>
      </w:r>
      <w:r w:rsidR="00087372">
        <w:rPr>
          <w:lang w:val="hr-HR"/>
        </w:rPr>
        <w:t>5-</w:t>
      </w:r>
      <w:r w:rsidRPr="00D15E81">
        <w:rPr>
          <w:lang w:val="hr-HR"/>
        </w:rPr>
        <w:t xml:space="preserve">10 % populacije u Hrvatskoj ima teškoće u </w:t>
      </w:r>
      <w:r w:rsidR="00087372">
        <w:rPr>
          <w:lang w:val="hr-HR"/>
        </w:rPr>
        <w:t>čitanju</w:t>
      </w:r>
      <w:r w:rsidRPr="00D15E81">
        <w:rPr>
          <w:lang w:val="hr-HR"/>
        </w:rPr>
        <w:t xml:space="preserve">. Te bi teškoće mogle biti znatno olakšane pa i prebrođene prijenosom građe potrebne za učenje u druge formate, primjerene ovoj populaciji. No postojeće ograničenje autorskog prava u Zakonu o autorskom pravu i srodnim pravima (NN 167/03, čl. 86) namijenjeno je osobama s invaliditetom, ali ne i svim ostalima koji ne mogu iz bilo kojeg razloga čitati standardni (crni) tisak. Jednostavna </w:t>
      </w:r>
      <w:r w:rsidR="0060249D">
        <w:rPr>
          <w:lang w:val="hr-HR"/>
        </w:rPr>
        <w:t xml:space="preserve">izmjena </w:t>
      </w:r>
      <w:r w:rsidRPr="00D15E81">
        <w:rPr>
          <w:lang w:val="hr-HR"/>
        </w:rPr>
        <w:t xml:space="preserve">zakonskog članka, kojom bi se </w:t>
      </w:r>
      <w:r w:rsidR="0060249D">
        <w:rPr>
          <w:lang w:val="hr-HR"/>
        </w:rPr>
        <w:t xml:space="preserve">korištenje autorskih djela za potrebe osoba s invaliditetom </w:t>
      </w:r>
      <w:r w:rsidRPr="00D15E81">
        <w:rPr>
          <w:lang w:val="hr-HR"/>
        </w:rPr>
        <w:t xml:space="preserve">proteglo i na osobe s teškoćama </w:t>
      </w:r>
      <w:r w:rsidR="005335EE">
        <w:rPr>
          <w:lang w:val="hr-HR"/>
        </w:rPr>
        <w:t>čitanja</w:t>
      </w:r>
      <w:r w:rsidRPr="00D15E81">
        <w:rPr>
          <w:lang w:val="hr-HR"/>
        </w:rPr>
        <w:t>, omogućila bi pristup širem ra</w:t>
      </w:r>
      <w:r w:rsidR="0060249D">
        <w:rPr>
          <w:lang w:val="hr-HR"/>
        </w:rPr>
        <w:t>sponu građe za učenje i olakšalo</w:t>
      </w:r>
      <w:r w:rsidRPr="00D15E81">
        <w:rPr>
          <w:lang w:val="hr-HR"/>
        </w:rPr>
        <w:t xml:space="preserve"> proces učenja tim osobama. Neka nacionalna zakonodavstva (npr. finsko, dansko, norveško) takvo ograničenje već imaju. </w:t>
      </w:r>
    </w:p>
    <w:p w:rsidR="00D15E81" w:rsidRDefault="00D15E81" w:rsidP="00D15E81">
      <w:pPr>
        <w:jc w:val="both"/>
        <w:rPr>
          <w:lang w:val="hr-HR"/>
        </w:rPr>
      </w:pPr>
      <w:r w:rsidRPr="00D15E81">
        <w:rPr>
          <w:lang w:val="hr-HR"/>
        </w:rPr>
        <w:t xml:space="preserve">Djeci i odraslima s teškoćama </w:t>
      </w:r>
      <w:r w:rsidR="00087372">
        <w:rPr>
          <w:lang w:val="hr-HR"/>
        </w:rPr>
        <w:t>čitanja</w:t>
      </w:r>
      <w:r w:rsidRPr="00D15E81">
        <w:rPr>
          <w:lang w:val="hr-HR"/>
        </w:rPr>
        <w:t xml:space="preserve"> potrebno je razumijevanje i podrška okoline u obrazovnom procesu. Nužno je udruživanje svih partnera u kampanji kako bi se educirala i senzibilizirala javnost o ovom problemu. Kampanjom se nastoji promovirati djelatnost knjižnica, ustanova i udruga koje pomažu osobama sa specifičnim teškoćama </w:t>
      </w:r>
      <w:r w:rsidR="000047E1">
        <w:rPr>
          <w:lang w:val="hr-HR"/>
        </w:rPr>
        <w:t>čitanja</w:t>
      </w:r>
      <w:r w:rsidRPr="00D15E81">
        <w:rPr>
          <w:lang w:val="hr-HR"/>
        </w:rPr>
        <w:t>/osobama koje ne mogu čitati standardni tisak.</w:t>
      </w:r>
    </w:p>
    <w:p w:rsidR="002649CF" w:rsidRDefault="002649CF" w:rsidP="00AE7AFA">
      <w:pPr>
        <w:rPr>
          <w:i/>
          <w:u w:val="single"/>
          <w:lang w:val="hr-HR"/>
        </w:rPr>
      </w:pPr>
    </w:p>
    <w:p w:rsidR="00712DAF" w:rsidRPr="00DB43AF" w:rsidRDefault="00712DAF" w:rsidP="00AE7AFA">
      <w:pPr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Poziv na akciju</w:t>
      </w:r>
    </w:p>
    <w:p w:rsidR="002649CF" w:rsidRPr="002649CF" w:rsidRDefault="00443CDA" w:rsidP="00712DAF">
      <w:pPr>
        <w:rPr>
          <w:b/>
          <w:lang w:val="hr-HR"/>
        </w:rPr>
      </w:pPr>
      <w:r>
        <w:rPr>
          <w:b/>
          <w:lang w:val="hr-HR"/>
        </w:rPr>
        <w:t xml:space="preserve">I ja </w:t>
      </w:r>
      <w:r w:rsidR="002277B7">
        <w:rPr>
          <w:b/>
          <w:lang w:val="hr-HR"/>
        </w:rPr>
        <w:t>želim</w:t>
      </w:r>
      <w:r>
        <w:rPr>
          <w:b/>
          <w:lang w:val="hr-HR"/>
        </w:rPr>
        <w:t xml:space="preserve"> čitati!</w:t>
      </w:r>
    </w:p>
    <w:p w:rsidR="002649CF" w:rsidRDefault="002649CF" w:rsidP="00712DAF">
      <w:pPr>
        <w:rPr>
          <w:i/>
          <w:u w:val="single"/>
          <w:lang w:val="hr-HR"/>
        </w:rPr>
      </w:pPr>
    </w:p>
    <w:p w:rsidR="00A17DD4" w:rsidRDefault="00A17DD4" w:rsidP="00712DAF">
      <w:pPr>
        <w:rPr>
          <w:i/>
          <w:u w:val="single"/>
          <w:lang w:val="hr-HR"/>
        </w:rPr>
      </w:pPr>
    </w:p>
    <w:p w:rsidR="00712DAF" w:rsidRDefault="00712DAF" w:rsidP="00712DAF">
      <w:pPr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Metode/aktivnosti u Kampanji</w:t>
      </w:r>
    </w:p>
    <w:p w:rsidR="009E4394" w:rsidRPr="009E4394" w:rsidRDefault="00765983" w:rsidP="004B40E8">
      <w:pPr>
        <w:pStyle w:val="ListParagraph"/>
        <w:numPr>
          <w:ilvl w:val="0"/>
          <w:numId w:val="5"/>
        </w:numPr>
        <w:rPr>
          <w:lang w:val="hr-HR"/>
        </w:rPr>
      </w:pPr>
      <w:r w:rsidRPr="009E4394">
        <w:rPr>
          <w:lang w:val="hr-HR"/>
        </w:rPr>
        <w:t>Prirediti popis tema za izložbe, radionice i predavanja za sudionike u Kampanji</w:t>
      </w:r>
      <w:r w:rsidR="009E4394" w:rsidRPr="009E4394">
        <w:rPr>
          <w:lang w:val="hr-HR"/>
        </w:rPr>
        <w:t xml:space="preserve"> (obilježavanje datuma poput “međunarodnih dana” vezanih uz osobe s teškoćama čitanja, susreti sa stručnjacima - gostima na tribinama, radionice u organizaciji knjižnica u suradnji sa stručnjacima u području teškoća čitanja, organiziranje “otvorenih vrata” pojedinih partnera u Kampanji). </w:t>
      </w:r>
    </w:p>
    <w:p w:rsidR="00765983" w:rsidRDefault="006C66D6" w:rsidP="004B40E8">
      <w:pPr>
        <w:pStyle w:val="ListParagraph"/>
        <w:numPr>
          <w:ilvl w:val="0"/>
          <w:numId w:val="5"/>
        </w:numPr>
        <w:rPr>
          <w:lang w:val="hr-HR"/>
        </w:rPr>
      </w:pPr>
      <w:r w:rsidRPr="00765983">
        <w:rPr>
          <w:lang w:val="hr-HR"/>
        </w:rPr>
        <w:t>O</w:t>
      </w:r>
      <w:r w:rsidR="00766C01" w:rsidRPr="00765983">
        <w:rPr>
          <w:lang w:val="hr-HR"/>
        </w:rPr>
        <w:t>stvariti 10 izložbi mjesečno po županijama</w:t>
      </w:r>
      <w:r w:rsidR="00765983" w:rsidRPr="00765983">
        <w:rPr>
          <w:lang w:val="hr-HR"/>
        </w:rPr>
        <w:t xml:space="preserve">. </w:t>
      </w:r>
      <w:r w:rsidR="00A17DD4" w:rsidRPr="00765983">
        <w:rPr>
          <w:lang w:val="hr-HR"/>
        </w:rPr>
        <w:t xml:space="preserve"> </w:t>
      </w:r>
    </w:p>
    <w:p w:rsidR="00766C01" w:rsidRPr="00765983" w:rsidRDefault="006C66D6" w:rsidP="004B40E8">
      <w:pPr>
        <w:pStyle w:val="ListParagraph"/>
        <w:numPr>
          <w:ilvl w:val="0"/>
          <w:numId w:val="5"/>
        </w:numPr>
        <w:rPr>
          <w:lang w:val="hr-HR"/>
        </w:rPr>
      </w:pPr>
      <w:r w:rsidRPr="00765983">
        <w:rPr>
          <w:lang w:val="hr-HR"/>
        </w:rPr>
        <w:t>P</w:t>
      </w:r>
      <w:r w:rsidR="00766C01" w:rsidRPr="00765983">
        <w:rPr>
          <w:lang w:val="hr-HR"/>
        </w:rPr>
        <w:t>rivući 30 posjetitelja po izložbi</w:t>
      </w:r>
      <w:r w:rsidRPr="00765983">
        <w:rPr>
          <w:lang w:val="hr-HR"/>
        </w:rPr>
        <w:t>.</w:t>
      </w:r>
    </w:p>
    <w:p w:rsidR="00766C01" w:rsidRDefault="006C66D6" w:rsidP="00766C01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P</w:t>
      </w:r>
      <w:r w:rsidR="00766C01" w:rsidRPr="00766C01">
        <w:rPr>
          <w:lang w:val="hr-HR"/>
        </w:rPr>
        <w:t>rivući 10 sudionika na svaku radionicu</w:t>
      </w:r>
      <w:r w:rsidR="00765983">
        <w:rPr>
          <w:lang w:val="hr-HR"/>
        </w:rPr>
        <w:t xml:space="preserve">. </w:t>
      </w:r>
    </w:p>
    <w:p w:rsidR="00766C01" w:rsidRPr="00CC68C2" w:rsidRDefault="007F78AC" w:rsidP="004B40E8">
      <w:pPr>
        <w:pStyle w:val="ListParagraph"/>
        <w:numPr>
          <w:ilvl w:val="0"/>
          <w:numId w:val="5"/>
        </w:numPr>
        <w:rPr>
          <w:lang w:val="hr-HR"/>
        </w:rPr>
      </w:pPr>
      <w:r w:rsidRPr="00CC68C2">
        <w:rPr>
          <w:lang w:val="hr-HR"/>
        </w:rPr>
        <w:t xml:space="preserve">Privući 20 sudionika na organiziranim predavanjima u </w:t>
      </w:r>
      <w:r w:rsidR="004C7B01" w:rsidRPr="00CC68C2">
        <w:rPr>
          <w:lang w:val="hr-HR"/>
        </w:rPr>
        <w:t xml:space="preserve">knjižnicama, školama i vrtićima u suradnji s </w:t>
      </w:r>
      <w:r w:rsidR="00C763D8" w:rsidRPr="00CC68C2">
        <w:rPr>
          <w:lang w:val="hr-HR"/>
        </w:rPr>
        <w:t xml:space="preserve">Edukacijsko-rehabilitacijskim fakultetom (Odsjek za logopediju), </w:t>
      </w:r>
      <w:r w:rsidR="00B052DC" w:rsidRPr="00CC68C2">
        <w:rPr>
          <w:lang w:val="hr-HR"/>
        </w:rPr>
        <w:t xml:space="preserve">Hrvatskim logopedskim društvom i Hrvatskom udrugom za disleksiju. </w:t>
      </w:r>
    </w:p>
    <w:p w:rsidR="007C530D" w:rsidRPr="00766C01" w:rsidRDefault="006C66D6" w:rsidP="00712DAF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O</w:t>
      </w:r>
      <w:r w:rsidR="00766C01" w:rsidRPr="00766C01">
        <w:rPr>
          <w:lang w:val="hr-HR"/>
        </w:rPr>
        <w:t>stvariti 1</w:t>
      </w:r>
      <w:r w:rsidR="00AD5D7D">
        <w:rPr>
          <w:lang w:val="hr-HR"/>
        </w:rPr>
        <w:t>2</w:t>
      </w:r>
      <w:r w:rsidR="00766C01" w:rsidRPr="00766C01">
        <w:rPr>
          <w:lang w:val="hr-HR"/>
        </w:rPr>
        <w:t xml:space="preserve"> medijskih objava</w:t>
      </w:r>
      <w:r w:rsidR="00BE6489">
        <w:rPr>
          <w:lang w:val="hr-HR"/>
        </w:rPr>
        <w:t xml:space="preserve"> o provedenim aktivnostima </w:t>
      </w:r>
      <w:r w:rsidR="00766C01" w:rsidRPr="00766C01">
        <w:rPr>
          <w:lang w:val="hr-HR"/>
        </w:rPr>
        <w:t xml:space="preserve">u prvih 6 mjeseci </w:t>
      </w:r>
      <w:r w:rsidR="00BC549D">
        <w:rPr>
          <w:lang w:val="hr-HR"/>
        </w:rPr>
        <w:t>K</w:t>
      </w:r>
      <w:r w:rsidR="00766C01" w:rsidRPr="00766C01">
        <w:rPr>
          <w:lang w:val="hr-HR"/>
        </w:rPr>
        <w:t>ampanje</w:t>
      </w:r>
      <w:r>
        <w:rPr>
          <w:lang w:val="hr-HR"/>
        </w:rPr>
        <w:t>.</w:t>
      </w:r>
    </w:p>
    <w:p w:rsidR="00712DAF" w:rsidRDefault="00712DAF" w:rsidP="00712DAF">
      <w:pPr>
        <w:pStyle w:val="ListParagraph"/>
        <w:numPr>
          <w:ilvl w:val="0"/>
          <w:numId w:val="6"/>
        </w:numPr>
        <w:rPr>
          <w:lang w:val="hr-HR"/>
        </w:rPr>
      </w:pPr>
      <w:r w:rsidRPr="00712DAF">
        <w:rPr>
          <w:lang w:val="hr-HR"/>
        </w:rPr>
        <w:t>Facebook stranica s informacijama o kampanji i partnerima koji prate kampanju, istaknuti korisne linkove na stranici, dijeliti ih dalje.</w:t>
      </w:r>
    </w:p>
    <w:p w:rsidR="00EF5CBC" w:rsidRPr="00EF5CBC" w:rsidRDefault="006C66D6" w:rsidP="00EF5CBC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U</w:t>
      </w:r>
      <w:r w:rsidR="00EF5CBC" w:rsidRPr="00EF5CBC">
        <w:rPr>
          <w:lang w:val="hr-HR"/>
        </w:rPr>
        <w:t>nutar 6 mjeseci do određenog datuma ostvariti 400-600 lajkova na facebook stranici</w:t>
      </w:r>
      <w:r>
        <w:rPr>
          <w:lang w:val="hr-HR"/>
        </w:rPr>
        <w:t>.</w:t>
      </w:r>
    </w:p>
    <w:p w:rsidR="00C432F9" w:rsidRPr="00C432F9" w:rsidRDefault="00A8608A" w:rsidP="00C432F9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Osnovne informacije o Kampanji </w:t>
      </w:r>
      <w:r w:rsidR="000748C4">
        <w:rPr>
          <w:lang w:val="hr-HR"/>
        </w:rPr>
        <w:t>podijeliti na mrežnim stranicama partnera u Kampanji</w:t>
      </w:r>
      <w:r w:rsidR="006C66D6">
        <w:rPr>
          <w:lang w:val="hr-HR"/>
        </w:rPr>
        <w:t>.</w:t>
      </w:r>
    </w:p>
    <w:p w:rsidR="00C432F9" w:rsidRPr="00C432F9" w:rsidRDefault="00C432F9" w:rsidP="00C432F9">
      <w:pPr>
        <w:pStyle w:val="ListParagraph"/>
        <w:numPr>
          <w:ilvl w:val="0"/>
          <w:numId w:val="6"/>
        </w:numPr>
        <w:rPr>
          <w:lang w:val="hr-HR"/>
        </w:rPr>
      </w:pPr>
      <w:r w:rsidRPr="00C432F9">
        <w:rPr>
          <w:lang w:val="hr-HR"/>
        </w:rPr>
        <w:t xml:space="preserve">Objaviti priče osoba (svjedočanstva) o koristi </w:t>
      </w:r>
      <w:r w:rsidR="00156FB3">
        <w:rPr>
          <w:lang w:val="hr-HR"/>
        </w:rPr>
        <w:t>K</w:t>
      </w:r>
      <w:r w:rsidRPr="00C432F9">
        <w:rPr>
          <w:lang w:val="hr-HR"/>
        </w:rPr>
        <w:t xml:space="preserve">ampanje. </w:t>
      </w:r>
    </w:p>
    <w:p w:rsidR="001C7C3D" w:rsidRPr="001C7C3D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1C7C3D">
        <w:rPr>
          <w:lang w:val="hr-HR"/>
        </w:rPr>
        <w:t xml:space="preserve">Klip s ključnim informacijama. </w:t>
      </w:r>
    </w:p>
    <w:p w:rsidR="001C7C3D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1C7C3D">
        <w:rPr>
          <w:lang w:val="hr-HR"/>
        </w:rPr>
        <w:t>Izrada logo</w:t>
      </w:r>
      <w:r w:rsidR="006C66D6">
        <w:rPr>
          <w:lang w:val="hr-HR"/>
        </w:rPr>
        <w:t>tipa</w:t>
      </w:r>
      <w:r w:rsidRPr="001C7C3D">
        <w:rPr>
          <w:lang w:val="hr-HR"/>
        </w:rPr>
        <w:t xml:space="preserve"> kampanje</w:t>
      </w:r>
      <w:r w:rsidR="006C66D6">
        <w:rPr>
          <w:lang w:val="hr-HR"/>
        </w:rPr>
        <w:t>.</w:t>
      </w:r>
      <w:r w:rsidRPr="001C7C3D">
        <w:rPr>
          <w:lang w:val="hr-HR"/>
        </w:rPr>
        <w:t xml:space="preserve"> </w:t>
      </w:r>
    </w:p>
    <w:p w:rsidR="00EF5CBC" w:rsidRDefault="00EF5CBC" w:rsidP="001C7C3D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Izrada plakata kampanje</w:t>
      </w:r>
      <w:r w:rsidR="006C66D6">
        <w:rPr>
          <w:lang w:val="hr-HR"/>
        </w:rPr>
        <w:t>.</w:t>
      </w:r>
    </w:p>
    <w:p w:rsidR="00EF5CBC" w:rsidRPr="00EF5CBC" w:rsidRDefault="006C66D6" w:rsidP="00EF5CBC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D</w:t>
      </w:r>
      <w:r w:rsidR="00EF5CBC" w:rsidRPr="00EF5CBC">
        <w:rPr>
          <w:lang w:val="hr-HR"/>
        </w:rPr>
        <w:t>o kraja kampanje podijeliti 4.000 plakata (</w:t>
      </w:r>
      <w:r w:rsidR="00707A61">
        <w:rPr>
          <w:lang w:val="hr-HR"/>
        </w:rPr>
        <w:t xml:space="preserve">u svim vrstama knjižnica te sudionicima i partnerima u Kampanji). </w:t>
      </w:r>
      <w:r w:rsidR="00EF5CBC" w:rsidRPr="00EF5CBC">
        <w:rPr>
          <w:lang w:val="hr-HR"/>
        </w:rPr>
        <w:t xml:space="preserve"> </w:t>
      </w:r>
    </w:p>
    <w:p w:rsidR="00EF5CBC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EF5CBC">
        <w:rPr>
          <w:lang w:val="hr-HR"/>
        </w:rPr>
        <w:t>Izraditi letak kampanje (na hrvatskom i engleskom jeziku)</w:t>
      </w:r>
      <w:r w:rsidR="006C66D6">
        <w:rPr>
          <w:lang w:val="hr-HR"/>
        </w:rPr>
        <w:t>.</w:t>
      </w:r>
      <w:r w:rsidR="007C530D" w:rsidRPr="00EF5CBC">
        <w:rPr>
          <w:lang w:val="hr-HR"/>
        </w:rPr>
        <w:t xml:space="preserve"> </w:t>
      </w:r>
    </w:p>
    <w:p w:rsidR="00707A61" w:rsidRPr="00EF5CBC" w:rsidRDefault="006C66D6" w:rsidP="00707A61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D</w:t>
      </w:r>
      <w:r w:rsidR="00EF5CBC" w:rsidRPr="00EF5CBC">
        <w:rPr>
          <w:lang w:val="hr-HR"/>
        </w:rPr>
        <w:t>o kraja kampanje podijeliti 8.000 letaka</w:t>
      </w:r>
      <w:r w:rsidR="00707A61">
        <w:rPr>
          <w:lang w:val="hr-HR"/>
        </w:rPr>
        <w:t xml:space="preserve"> </w:t>
      </w:r>
      <w:r w:rsidR="00707A61" w:rsidRPr="00EF5CBC">
        <w:rPr>
          <w:lang w:val="hr-HR"/>
        </w:rPr>
        <w:t>(</w:t>
      </w:r>
      <w:r w:rsidR="00707A61">
        <w:rPr>
          <w:lang w:val="hr-HR"/>
        </w:rPr>
        <w:t xml:space="preserve">u svim vrstama knjižnica, partnerima i svim zainteresiranim sudionicima u Kampanji). </w:t>
      </w:r>
      <w:r w:rsidR="00707A61" w:rsidRPr="00EF5CBC">
        <w:rPr>
          <w:lang w:val="hr-HR"/>
        </w:rPr>
        <w:t xml:space="preserve"> </w:t>
      </w:r>
    </w:p>
    <w:p w:rsidR="001C7C3D" w:rsidRPr="001C7C3D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1C7C3D">
        <w:rPr>
          <w:lang w:val="hr-HR"/>
        </w:rPr>
        <w:t xml:space="preserve">Uključiti u kampanju nacionalne i lokalne medije s kratkim objavama o kampanji u svim županijskim gradskim središtima i većim gradovima. </w:t>
      </w:r>
    </w:p>
    <w:p w:rsidR="001C7C3D" w:rsidRPr="001C7C3D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1C7C3D">
        <w:rPr>
          <w:lang w:val="hr-HR"/>
        </w:rPr>
        <w:t>Angažira</w:t>
      </w:r>
      <w:r w:rsidR="006C66D6">
        <w:rPr>
          <w:lang w:val="hr-HR"/>
        </w:rPr>
        <w:t>ti</w:t>
      </w:r>
      <w:r w:rsidRPr="001C7C3D">
        <w:rPr>
          <w:lang w:val="hr-HR"/>
        </w:rPr>
        <w:t xml:space="preserve"> novinar</w:t>
      </w:r>
      <w:r w:rsidR="006C66D6">
        <w:rPr>
          <w:lang w:val="hr-HR"/>
        </w:rPr>
        <w:t>e</w:t>
      </w:r>
      <w:r w:rsidRPr="001C7C3D">
        <w:rPr>
          <w:lang w:val="hr-HR"/>
        </w:rPr>
        <w:t xml:space="preserve"> s radija i televizije koji redovito prate događanja vezana uz osobe s invaliditetom i osobe s posebnim potrebama</w:t>
      </w:r>
      <w:r w:rsidR="006C66D6">
        <w:rPr>
          <w:lang w:val="hr-HR"/>
        </w:rPr>
        <w:t>.</w:t>
      </w:r>
      <w:r w:rsidRPr="001C7C3D">
        <w:rPr>
          <w:lang w:val="hr-HR"/>
        </w:rPr>
        <w:t xml:space="preserve"> </w:t>
      </w:r>
    </w:p>
    <w:p w:rsidR="001C7C3D" w:rsidRPr="001C7C3D" w:rsidRDefault="001C7C3D" w:rsidP="001C7C3D">
      <w:pPr>
        <w:pStyle w:val="ListParagraph"/>
        <w:numPr>
          <w:ilvl w:val="0"/>
          <w:numId w:val="6"/>
        </w:numPr>
        <w:rPr>
          <w:lang w:val="hr-HR"/>
        </w:rPr>
      </w:pPr>
      <w:r w:rsidRPr="001C7C3D">
        <w:rPr>
          <w:lang w:val="hr-HR"/>
        </w:rPr>
        <w:t>Oglašavati se putem medija i koristiti mailing liste svih partnera na Kampanji (liste po grupama, osobe, ustanove, stručnjaci, knjižničari).</w:t>
      </w:r>
    </w:p>
    <w:p w:rsidR="001C7C3D" w:rsidRDefault="001C7C3D" w:rsidP="001C7C3D">
      <w:pPr>
        <w:pStyle w:val="ListParagraph"/>
        <w:ind w:left="0"/>
        <w:rPr>
          <w:lang w:val="hr-HR"/>
        </w:rPr>
      </w:pPr>
    </w:p>
    <w:p w:rsidR="002649CF" w:rsidRDefault="002649CF" w:rsidP="008B2721">
      <w:pPr>
        <w:pStyle w:val="ListParagraph"/>
        <w:ind w:left="0"/>
        <w:jc w:val="both"/>
        <w:rPr>
          <w:i/>
          <w:u w:val="single"/>
          <w:lang w:val="hr-HR"/>
        </w:rPr>
      </w:pPr>
    </w:p>
    <w:p w:rsidR="001C7C3D" w:rsidRPr="00DB43AF" w:rsidRDefault="001C7C3D" w:rsidP="008B2721">
      <w:pPr>
        <w:pStyle w:val="ListParagraph"/>
        <w:ind w:left="0"/>
        <w:jc w:val="both"/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Mjerljivost uspjeha Kampanje</w:t>
      </w:r>
    </w:p>
    <w:p w:rsidR="001C7C3D" w:rsidRPr="00DB43AF" w:rsidRDefault="001C7C3D" w:rsidP="008B2721">
      <w:pPr>
        <w:pStyle w:val="ListParagraph"/>
        <w:ind w:left="0"/>
        <w:jc w:val="both"/>
        <w:rPr>
          <w:i/>
          <w:u w:val="single"/>
          <w:lang w:val="hr-HR"/>
        </w:rPr>
      </w:pPr>
    </w:p>
    <w:p w:rsidR="008C7DD7" w:rsidRDefault="001C7C3D" w:rsidP="00D25038">
      <w:pPr>
        <w:pStyle w:val="ListParagraph"/>
        <w:ind w:left="0"/>
        <w:rPr>
          <w:lang w:val="hr-HR"/>
        </w:rPr>
      </w:pPr>
      <w:r>
        <w:rPr>
          <w:lang w:val="hr-HR"/>
        </w:rPr>
        <w:t>M</w:t>
      </w:r>
      <w:r w:rsidRPr="001C7C3D">
        <w:rPr>
          <w:lang w:val="hr-HR"/>
        </w:rPr>
        <w:t>jeri</w:t>
      </w:r>
      <w:r>
        <w:rPr>
          <w:lang w:val="hr-HR"/>
        </w:rPr>
        <w:t xml:space="preserve"> se</w:t>
      </w:r>
      <w:r w:rsidRPr="001C7C3D">
        <w:rPr>
          <w:lang w:val="hr-HR"/>
        </w:rPr>
        <w:t xml:space="preserve"> brojkama posjeta nekom događanj</w:t>
      </w:r>
      <w:r w:rsidR="00D25038">
        <w:rPr>
          <w:lang w:val="hr-HR"/>
        </w:rPr>
        <w:t>u (koliko je upitnika podijeljeno u osnovnim školama, broj izložbi, radionica, susreta/</w:t>
      </w:r>
      <w:r w:rsidRPr="001C7C3D">
        <w:rPr>
          <w:lang w:val="hr-HR"/>
        </w:rPr>
        <w:t>gostovanj</w:t>
      </w:r>
      <w:r w:rsidR="00D25038">
        <w:rPr>
          <w:lang w:val="hr-HR"/>
        </w:rPr>
        <w:t>a</w:t>
      </w:r>
      <w:r w:rsidRPr="001C7C3D">
        <w:rPr>
          <w:lang w:val="hr-HR"/>
        </w:rPr>
        <w:t xml:space="preserve"> stručnjaka koji bi savjetovao/la roditelje i ciljanu skupinu osoba o nekom problemu (npr. rješavanju svakodnevnih problema na poslu i u školi, problemima sa zapošljavanjem,</w:t>
      </w:r>
      <w:r w:rsidR="008B2721">
        <w:rPr>
          <w:lang w:val="hr-HR"/>
        </w:rPr>
        <w:t xml:space="preserve"> </w:t>
      </w:r>
      <w:r w:rsidRPr="001C7C3D">
        <w:rPr>
          <w:lang w:val="hr-HR"/>
        </w:rPr>
        <w:t>odnosi roditelji-djeca, problemi inkluzije</w:t>
      </w:r>
      <w:r w:rsidR="008C7DD7">
        <w:rPr>
          <w:lang w:val="hr-HR"/>
        </w:rPr>
        <w:t xml:space="preserve">, lajkovi na facebook stranici, broj </w:t>
      </w:r>
      <w:r w:rsidR="008C7DD7">
        <w:rPr>
          <w:lang w:val="hr-HR"/>
        </w:rPr>
        <w:lastRenderedPageBreak/>
        <w:t>podijeljenih letaka, plakata, broj medijskih objava</w:t>
      </w:r>
      <w:r w:rsidRPr="001C7C3D">
        <w:rPr>
          <w:lang w:val="hr-HR"/>
        </w:rPr>
        <w:t>).</w:t>
      </w:r>
      <w:r w:rsidR="008C7DD7">
        <w:rPr>
          <w:lang w:val="hr-HR"/>
        </w:rPr>
        <w:t xml:space="preserve"> Metode koje Kampanja koristi moraju bit</w:t>
      </w:r>
      <w:r w:rsidR="00D25038">
        <w:rPr>
          <w:lang w:val="hr-HR"/>
        </w:rPr>
        <w:t>i</w:t>
      </w:r>
      <w:r w:rsidR="008C7DD7">
        <w:rPr>
          <w:lang w:val="hr-HR"/>
        </w:rPr>
        <w:t xml:space="preserve"> mjerljive</w:t>
      </w:r>
      <w:r w:rsidR="00D25038">
        <w:rPr>
          <w:lang w:val="hr-HR"/>
        </w:rPr>
        <w:t>.</w:t>
      </w:r>
      <w:r w:rsidR="008C7DD7">
        <w:rPr>
          <w:lang w:val="hr-HR"/>
        </w:rPr>
        <w:t xml:space="preserve"> </w:t>
      </w:r>
      <w:r w:rsidR="00D25038">
        <w:rPr>
          <w:lang w:val="hr-HR"/>
        </w:rPr>
        <w:t>P</w:t>
      </w:r>
      <w:r w:rsidR="008C7DD7">
        <w:rPr>
          <w:lang w:val="hr-HR"/>
        </w:rPr>
        <w:t>rimjeri pokazuju na koji način će evaluacija pokazati uspješnost provedenih metoda nakon godine dana</w:t>
      </w:r>
      <w:r w:rsidR="00D25038">
        <w:rPr>
          <w:lang w:val="hr-HR"/>
        </w:rPr>
        <w:t xml:space="preserve"> provedbe</w:t>
      </w:r>
      <w:r w:rsidR="008C7DD7">
        <w:rPr>
          <w:lang w:val="hr-HR"/>
        </w:rPr>
        <w:t xml:space="preserve"> Kampanje. Izvještaj će pokazati koliko je Kampanja bila uspješna i </w:t>
      </w:r>
      <w:r w:rsidR="006C66D6">
        <w:rPr>
          <w:lang w:val="hr-HR"/>
        </w:rPr>
        <w:t xml:space="preserve"> je </w:t>
      </w:r>
      <w:r w:rsidR="008C7DD7">
        <w:rPr>
          <w:lang w:val="hr-HR"/>
        </w:rPr>
        <w:t>li plan Kampanje</w:t>
      </w:r>
      <w:r w:rsidR="00D25038">
        <w:rPr>
          <w:lang w:val="hr-HR"/>
        </w:rPr>
        <w:t xml:space="preserve"> u izvedbi zadovoljio.</w:t>
      </w:r>
      <w:r w:rsidR="008C7DD7">
        <w:rPr>
          <w:lang w:val="hr-HR"/>
        </w:rPr>
        <w:t xml:space="preserve"> </w:t>
      </w:r>
    </w:p>
    <w:p w:rsidR="0071056C" w:rsidRDefault="0071056C" w:rsidP="004F4185">
      <w:pPr>
        <w:rPr>
          <w:i/>
          <w:u w:val="single"/>
          <w:lang w:val="hr-HR"/>
        </w:rPr>
      </w:pPr>
    </w:p>
    <w:p w:rsidR="0071056C" w:rsidRDefault="0071056C" w:rsidP="004F4185">
      <w:pPr>
        <w:rPr>
          <w:i/>
          <w:u w:val="single"/>
          <w:lang w:val="hr-HR"/>
        </w:rPr>
      </w:pPr>
    </w:p>
    <w:p w:rsidR="004F4185" w:rsidRPr="004F4185" w:rsidRDefault="004F4185" w:rsidP="004F4185">
      <w:pPr>
        <w:rPr>
          <w:lang w:val="hr-HR"/>
        </w:rPr>
      </w:pPr>
      <w:r w:rsidRPr="0071056C">
        <w:rPr>
          <w:i/>
          <w:lang w:val="hr-HR"/>
        </w:rPr>
        <w:t>Mogući rizici u kampanji</w:t>
      </w:r>
    </w:p>
    <w:p w:rsidR="004F4185" w:rsidRPr="004F4185" w:rsidRDefault="004F4185" w:rsidP="004F4185">
      <w:pPr>
        <w:pStyle w:val="ListParagraph"/>
        <w:rPr>
          <w:lang w:val="hr-HR"/>
        </w:rPr>
      </w:pPr>
    </w:p>
    <w:p w:rsidR="004F4185" w:rsidRPr="004F4185" w:rsidRDefault="004F4185" w:rsidP="004F4185">
      <w:pPr>
        <w:pStyle w:val="ListParagraph"/>
        <w:rPr>
          <w:lang w:val="hr-HR"/>
        </w:rPr>
      </w:pPr>
      <w:r w:rsidRPr="004F4185">
        <w:rPr>
          <w:lang w:val="hr-HR"/>
        </w:rPr>
        <w:t>•</w:t>
      </w:r>
      <w:r w:rsidR="006C66D6">
        <w:rPr>
          <w:lang w:val="hr-HR"/>
        </w:rPr>
        <w:t xml:space="preserve">    </w:t>
      </w:r>
      <w:r w:rsidR="00195642">
        <w:rPr>
          <w:lang w:val="hr-HR"/>
        </w:rPr>
        <w:t xml:space="preserve"> </w:t>
      </w:r>
      <w:r w:rsidR="006C66D6">
        <w:rPr>
          <w:lang w:val="hr-HR"/>
        </w:rPr>
        <w:t>P</w:t>
      </w:r>
      <w:r w:rsidRPr="004F4185">
        <w:rPr>
          <w:lang w:val="hr-HR"/>
        </w:rPr>
        <w:t xml:space="preserve">otrebna je visoka razina uključenosti različitih partnera za provedbu aktivnosti i postizanje ciljeva </w:t>
      </w:r>
      <w:r w:rsidR="006C66D6">
        <w:rPr>
          <w:lang w:val="hr-HR"/>
        </w:rPr>
        <w:t>K</w:t>
      </w:r>
      <w:r w:rsidRPr="004F4185">
        <w:rPr>
          <w:lang w:val="hr-HR"/>
        </w:rPr>
        <w:t>ampanje</w:t>
      </w:r>
      <w:r w:rsidR="006C66D6">
        <w:rPr>
          <w:lang w:val="hr-HR"/>
        </w:rPr>
        <w:t>.</w:t>
      </w:r>
    </w:p>
    <w:p w:rsidR="004F4185" w:rsidRPr="004F4185" w:rsidRDefault="004F4185" w:rsidP="004F4185">
      <w:pPr>
        <w:pStyle w:val="ListParagraph"/>
        <w:rPr>
          <w:lang w:val="hr-HR"/>
        </w:rPr>
      </w:pPr>
      <w:r w:rsidRPr="004F4185">
        <w:rPr>
          <w:lang w:val="hr-HR"/>
        </w:rPr>
        <w:t>•</w:t>
      </w:r>
      <w:r w:rsidR="006C66D6">
        <w:rPr>
          <w:lang w:val="hr-HR"/>
        </w:rPr>
        <w:t xml:space="preserve">    </w:t>
      </w:r>
      <w:r w:rsidR="00195642">
        <w:rPr>
          <w:lang w:val="hr-HR"/>
        </w:rPr>
        <w:t xml:space="preserve"> </w:t>
      </w:r>
      <w:r w:rsidR="006C66D6">
        <w:rPr>
          <w:lang w:val="hr-HR"/>
        </w:rPr>
        <w:t>P</w:t>
      </w:r>
      <w:r w:rsidRPr="004F4185">
        <w:rPr>
          <w:lang w:val="hr-HR"/>
        </w:rPr>
        <w:t xml:space="preserve">otrebna je izvanredna koordinacija za provedbu </w:t>
      </w:r>
      <w:r w:rsidR="006C66D6">
        <w:rPr>
          <w:lang w:val="hr-HR"/>
        </w:rPr>
        <w:t>K</w:t>
      </w:r>
      <w:r w:rsidRPr="004F4185">
        <w:rPr>
          <w:lang w:val="hr-HR"/>
        </w:rPr>
        <w:t>ampanje</w:t>
      </w:r>
      <w:r w:rsidR="006C66D6">
        <w:rPr>
          <w:lang w:val="hr-HR"/>
        </w:rPr>
        <w:t>.</w:t>
      </w:r>
    </w:p>
    <w:p w:rsidR="007C3EC1" w:rsidRDefault="004F4185" w:rsidP="007F78AC">
      <w:pPr>
        <w:pStyle w:val="ListParagraph"/>
        <w:rPr>
          <w:lang w:val="hr-HR"/>
        </w:rPr>
      </w:pPr>
      <w:r w:rsidRPr="004F4185">
        <w:rPr>
          <w:lang w:val="hr-HR"/>
        </w:rPr>
        <w:t>•</w:t>
      </w:r>
      <w:r w:rsidR="006C66D6">
        <w:rPr>
          <w:lang w:val="hr-HR"/>
        </w:rPr>
        <w:t xml:space="preserve">    </w:t>
      </w:r>
      <w:r w:rsidR="00195642">
        <w:rPr>
          <w:lang w:val="hr-HR"/>
        </w:rPr>
        <w:t xml:space="preserve"> </w:t>
      </w:r>
      <w:r w:rsidR="006C66D6">
        <w:rPr>
          <w:lang w:val="hr-HR"/>
        </w:rPr>
        <w:t>U</w:t>
      </w:r>
      <w:r w:rsidRPr="004F4185">
        <w:rPr>
          <w:lang w:val="hr-HR"/>
        </w:rPr>
        <w:t>pitno je koliko će sredstava biti odobreno za provedbu aktivnosti kampanje</w:t>
      </w:r>
      <w:r w:rsidR="006C66D6">
        <w:rPr>
          <w:lang w:val="hr-HR"/>
        </w:rPr>
        <w:t>.</w:t>
      </w:r>
    </w:p>
    <w:p w:rsidR="007F78AC" w:rsidRPr="007F78AC" w:rsidRDefault="007F78AC" w:rsidP="007F78AC">
      <w:pPr>
        <w:pStyle w:val="ListParagraph"/>
        <w:rPr>
          <w:lang w:val="hr-HR"/>
        </w:rPr>
      </w:pPr>
    </w:p>
    <w:p w:rsidR="007C3EC1" w:rsidRDefault="007C3EC1" w:rsidP="004F4185">
      <w:pPr>
        <w:pStyle w:val="ListParagraph"/>
        <w:rPr>
          <w:lang w:val="hr-HR"/>
        </w:rPr>
      </w:pPr>
    </w:p>
    <w:p w:rsidR="006C66D6" w:rsidRDefault="004F4185" w:rsidP="004F4185">
      <w:pPr>
        <w:pStyle w:val="ListParagraph"/>
        <w:rPr>
          <w:lang w:val="hr-HR"/>
        </w:rPr>
      </w:pPr>
      <w:r w:rsidRPr="004F4185">
        <w:rPr>
          <w:lang w:val="hr-HR"/>
        </w:rPr>
        <w:t>Održivost kampanje:</w:t>
      </w:r>
    </w:p>
    <w:p w:rsidR="004F4185" w:rsidRPr="004F4185" w:rsidRDefault="004F4185" w:rsidP="004F4185">
      <w:pPr>
        <w:pStyle w:val="ListParagraph"/>
        <w:rPr>
          <w:lang w:val="hr-HR"/>
        </w:rPr>
      </w:pPr>
      <w:r w:rsidRPr="004F4185">
        <w:rPr>
          <w:lang w:val="hr-HR"/>
        </w:rPr>
        <w:tab/>
      </w:r>
    </w:p>
    <w:p w:rsidR="004F4185" w:rsidRPr="006C66D6" w:rsidRDefault="004F4185" w:rsidP="006C66D6">
      <w:pPr>
        <w:pStyle w:val="ListParagraph"/>
        <w:rPr>
          <w:lang w:val="hr-HR"/>
        </w:rPr>
      </w:pPr>
      <w:r w:rsidRPr="004F4185">
        <w:rPr>
          <w:lang w:val="hr-HR"/>
        </w:rPr>
        <w:t>•</w:t>
      </w:r>
      <w:r w:rsidR="006C66D6">
        <w:rPr>
          <w:lang w:val="hr-HR"/>
        </w:rPr>
        <w:t xml:space="preserve">   </w:t>
      </w:r>
      <w:r w:rsidR="00195642">
        <w:rPr>
          <w:lang w:val="hr-HR"/>
        </w:rPr>
        <w:t xml:space="preserve"> </w:t>
      </w:r>
      <w:r w:rsidR="006C66D6">
        <w:rPr>
          <w:lang w:val="hr-HR"/>
        </w:rPr>
        <w:t>K</w:t>
      </w:r>
      <w:r w:rsidRPr="006C66D6">
        <w:rPr>
          <w:lang w:val="hr-HR"/>
        </w:rPr>
        <w:t xml:space="preserve">oje aktivnosti su dionici/partneri u provedbi </w:t>
      </w:r>
      <w:r w:rsidR="006C66D6" w:rsidRPr="006C66D6">
        <w:rPr>
          <w:lang w:val="hr-HR"/>
        </w:rPr>
        <w:t>K</w:t>
      </w:r>
      <w:r w:rsidRPr="006C66D6">
        <w:rPr>
          <w:lang w:val="hr-HR"/>
        </w:rPr>
        <w:t>ampanje spremni nastaviti provoditi nakon zav</w:t>
      </w:r>
      <w:r w:rsidR="005D6954">
        <w:rPr>
          <w:lang w:val="hr-HR"/>
        </w:rPr>
        <w:t>r</w:t>
      </w:r>
      <w:r w:rsidRPr="006C66D6">
        <w:rPr>
          <w:lang w:val="hr-HR"/>
        </w:rPr>
        <w:t xml:space="preserve">šetka </w:t>
      </w:r>
      <w:r w:rsidR="004B40E8">
        <w:rPr>
          <w:lang w:val="hr-HR"/>
        </w:rPr>
        <w:t>K</w:t>
      </w:r>
      <w:r w:rsidRPr="006C66D6">
        <w:rPr>
          <w:lang w:val="hr-HR"/>
        </w:rPr>
        <w:t>ampanje</w:t>
      </w:r>
      <w:r w:rsidR="006C66D6">
        <w:rPr>
          <w:lang w:val="hr-HR"/>
        </w:rPr>
        <w:t>.</w:t>
      </w:r>
    </w:p>
    <w:p w:rsidR="004F4185" w:rsidRDefault="004F4185" w:rsidP="00D25038">
      <w:pPr>
        <w:pStyle w:val="ListParagraph"/>
        <w:ind w:left="0"/>
        <w:rPr>
          <w:lang w:val="hr-HR"/>
        </w:rPr>
      </w:pPr>
    </w:p>
    <w:p w:rsidR="008C7DD7" w:rsidRDefault="008C7DD7" w:rsidP="001C7C3D">
      <w:pPr>
        <w:pStyle w:val="ListParagraph"/>
        <w:ind w:left="0"/>
        <w:rPr>
          <w:i/>
          <w:u w:val="single"/>
          <w:lang w:val="hr-HR"/>
        </w:rPr>
      </w:pPr>
    </w:p>
    <w:p w:rsidR="008C7DD7" w:rsidRDefault="008C7DD7" w:rsidP="001C7C3D">
      <w:pPr>
        <w:pStyle w:val="ListParagraph"/>
        <w:ind w:left="0"/>
        <w:rPr>
          <w:i/>
          <w:u w:val="single"/>
          <w:lang w:val="hr-HR"/>
        </w:rPr>
      </w:pPr>
    </w:p>
    <w:p w:rsidR="001C7C3D" w:rsidRPr="00DB43AF" w:rsidRDefault="001C7C3D" w:rsidP="001C7C3D">
      <w:pPr>
        <w:pStyle w:val="ListParagraph"/>
        <w:ind w:left="0"/>
        <w:rPr>
          <w:i/>
          <w:u w:val="single"/>
          <w:lang w:val="hr-HR"/>
        </w:rPr>
      </w:pPr>
      <w:r w:rsidRPr="00DB43AF">
        <w:rPr>
          <w:i/>
          <w:u w:val="single"/>
          <w:lang w:val="hr-HR"/>
        </w:rPr>
        <w:t>Predstavljanje uspjeha kampanje</w:t>
      </w:r>
    </w:p>
    <w:p w:rsidR="001C7C3D" w:rsidRDefault="001C7C3D" w:rsidP="001C7C3D">
      <w:pPr>
        <w:pStyle w:val="ListParagraph"/>
        <w:ind w:left="0"/>
        <w:rPr>
          <w:lang w:val="hr-HR"/>
        </w:rPr>
      </w:pPr>
    </w:p>
    <w:p w:rsidR="001C7C3D" w:rsidRDefault="001C7C3D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1C7C3D">
        <w:rPr>
          <w:lang w:val="hr-HR"/>
        </w:rPr>
        <w:t xml:space="preserve">Okrugli stol Komisije za knjižnične usluge za osobe s posebnim potrebama za predstavljanje Kampanje </w:t>
      </w:r>
    </w:p>
    <w:p w:rsidR="001C7C3D" w:rsidRDefault="001C7C3D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1C7C3D">
        <w:rPr>
          <w:lang w:val="hr-HR"/>
        </w:rPr>
        <w:t xml:space="preserve">Dan disleksije (6. listopada) prikaz rezultata </w:t>
      </w:r>
      <w:r w:rsidR="006C66D6">
        <w:rPr>
          <w:lang w:val="hr-HR"/>
        </w:rPr>
        <w:t>K</w:t>
      </w:r>
      <w:r w:rsidRPr="001C7C3D">
        <w:rPr>
          <w:lang w:val="hr-HR"/>
        </w:rPr>
        <w:t>ampanje</w:t>
      </w:r>
    </w:p>
    <w:p w:rsidR="001C7C3D" w:rsidRDefault="001C7C3D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1C7C3D">
        <w:rPr>
          <w:lang w:val="hr-HR"/>
        </w:rPr>
        <w:t>članci u V</w:t>
      </w:r>
      <w:r>
        <w:rPr>
          <w:lang w:val="hr-HR"/>
        </w:rPr>
        <w:t xml:space="preserve">jesniku bibliotekara </w:t>
      </w:r>
      <w:r w:rsidRPr="001C7C3D">
        <w:rPr>
          <w:lang w:val="hr-HR"/>
        </w:rPr>
        <w:t>H</w:t>
      </w:r>
      <w:r>
        <w:rPr>
          <w:lang w:val="hr-HR"/>
        </w:rPr>
        <w:t>rvatske</w:t>
      </w:r>
    </w:p>
    <w:p w:rsidR="001C7C3D" w:rsidRDefault="001C7C3D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1C7C3D">
        <w:rPr>
          <w:lang w:val="hr-HR"/>
        </w:rPr>
        <w:t>članci u glasilima, stručnim časopisima, novinama i drugim medijima</w:t>
      </w:r>
    </w:p>
    <w:p w:rsidR="004F4185" w:rsidRDefault="004F4185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71056C">
        <w:rPr>
          <w:lang w:val="hr-HR"/>
        </w:rPr>
        <w:t>izlaganja na stručnim skupovima</w:t>
      </w:r>
    </w:p>
    <w:p w:rsidR="0045438B" w:rsidRDefault="0045438B" w:rsidP="001C7C3D">
      <w:pPr>
        <w:pStyle w:val="ListParagraph"/>
        <w:numPr>
          <w:ilvl w:val="0"/>
          <w:numId w:val="7"/>
        </w:numPr>
        <w:rPr>
          <w:lang w:val="hr-HR"/>
        </w:rPr>
      </w:pPr>
      <w:r w:rsidRPr="0071056C">
        <w:rPr>
          <w:lang w:val="hr-HR"/>
        </w:rPr>
        <w:t>objave i nastupi u medijima</w:t>
      </w:r>
    </w:p>
    <w:p w:rsidR="001C7C3D" w:rsidRDefault="001C7C3D" w:rsidP="001C7C3D">
      <w:pPr>
        <w:pStyle w:val="ListParagraph"/>
        <w:ind w:left="0"/>
        <w:rPr>
          <w:lang w:val="hr-HR"/>
        </w:rPr>
      </w:pPr>
    </w:p>
    <w:p w:rsidR="001C7C3D" w:rsidRPr="00712DAF" w:rsidRDefault="001C7C3D" w:rsidP="001C7C3D">
      <w:pPr>
        <w:pStyle w:val="ListParagraph"/>
        <w:ind w:left="0"/>
        <w:rPr>
          <w:lang w:val="hr-HR"/>
        </w:rPr>
      </w:pPr>
    </w:p>
    <w:sectPr w:rsidR="001C7C3D" w:rsidRPr="0071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EED"/>
    <w:multiLevelType w:val="hybridMultilevel"/>
    <w:tmpl w:val="62EA19EE"/>
    <w:lvl w:ilvl="0" w:tplc="824E4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32F"/>
    <w:multiLevelType w:val="hybridMultilevel"/>
    <w:tmpl w:val="A1CE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4366"/>
    <w:multiLevelType w:val="hybridMultilevel"/>
    <w:tmpl w:val="EA7C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29DA"/>
    <w:multiLevelType w:val="hybridMultilevel"/>
    <w:tmpl w:val="9376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0B95"/>
    <w:multiLevelType w:val="hybridMultilevel"/>
    <w:tmpl w:val="0EEC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0F8D"/>
    <w:multiLevelType w:val="hybridMultilevel"/>
    <w:tmpl w:val="A97E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30E86"/>
    <w:multiLevelType w:val="hybridMultilevel"/>
    <w:tmpl w:val="C7A0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42F"/>
    <w:multiLevelType w:val="hybridMultilevel"/>
    <w:tmpl w:val="EC50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A0C"/>
    <w:multiLevelType w:val="hybridMultilevel"/>
    <w:tmpl w:val="C594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57C3C"/>
    <w:multiLevelType w:val="hybridMultilevel"/>
    <w:tmpl w:val="E198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B3050"/>
    <w:multiLevelType w:val="hybridMultilevel"/>
    <w:tmpl w:val="DE22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9F6"/>
    <w:multiLevelType w:val="hybridMultilevel"/>
    <w:tmpl w:val="5A44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AE1"/>
    <w:rsid w:val="000047E1"/>
    <w:rsid w:val="00027DD6"/>
    <w:rsid w:val="00066531"/>
    <w:rsid w:val="000748C4"/>
    <w:rsid w:val="0008315C"/>
    <w:rsid w:val="00087372"/>
    <w:rsid w:val="000D0E4F"/>
    <w:rsid w:val="000E2D1F"/>
    <w:rsid w:val="001074AD"/>
    <w:rsid w:val="00114205"/>
    <w:rsid w:val="00124B36"/>
    <w:rsid w:val="00132E4F"/>
    <w:rsid w:val="00156FB3"/>
    <w:rsid w:val="0018525E"/>
    <w:rsid w:val="00195642"/>
    <w:rsid w:val="001B4116"/>
    <w:rsid w:val="001B6BA2"/>
    <w:rsid w:val="001C0B51"/>
    <w:rsid w:val="001C125F"/>
    <w:rsid w:val="001C308F"/>
    <w:rsid w:val="001C61BB"/>
    <w:rsid w:val="001C7C3D"/>
    <w:rsid w:val="001D7DA3"/>
    <w:rsid w:val="001E07AE"/>
    <w:rsid w:val="001E4CF4"/>
    <w:rsid w:val="001F3DF3"/>
    <w:rsid w:val="00214A8A"/>
    <w:rsid w:val="002265E5"/>
    <w:rsid w:val="002277B7"/>
    <w:rsid w:val="002649CF"/>
    <w:rsid w:val="00281C61"/>
    <w:rsid w:val="00284BFC"/>
    <w:rsid w:val="00296575"/>
    <w:rsid w:val="002B2293"/>
    <w:rsid w:val="002C3BED"/>
    <w:rsid w:val="002C53FE"/>
    <w:rsid w:val="002D3FBC"/>
    <w:rsid w:val="002D47B7"/>
    <w:rsid w:val="002E7284"/>
    <w:rsid w:val="002F61F5"/>
    <w:rsid w:val="003244FB"/>
    <w:rsid w:val="003312D1"/>
    <w:rsid w:val="00336E6B"/>
    <w:rsid w:val="00342824"/>
    <w:rsid w:val="00343A0F"/>
    <w:rsid w:val="00347D94"/>
    <w:rsid w:val="00380034"/>
    <w:rsid w:val="0038073D"/>
    <w:rsid w:val="003A1F05"/>
    <w:rsid w:val="003C0E95"/>
    <w:rsid w:val="003D55AC"/>
    <w:rsid w:val="003F1281"/>
    <w:rsid w:val="003F46B1"/>
    <w:rsid w:val="004027D7"/>
    <w:rsid w:val="004319E3"/>
    <w:rsid w:val="00443CDA"/>
    <w:rsid w:val="00452652"/>
    <w:rsid w:val="0045438B"/>
    <w:rsid w:val="00457F60"/>
    <w:rsid w:val="00461FFE"/>
    <w:rsid w:val="00471D4C"/>
    <w:rsid w:val="004B40E8"/>
    <w:rsid w:val="004C7B01"/>
    <w:rsid w:val="004F4185"/>
    <w:rsid w:val="00502020"/>
    <w:rsid w:val="0052295C"/>
    <w:rsid w:val="005335EE"/>
    <w:rsid w:val="00542AE0"/>
    <w:rsid w:val="00544A79"/>
    <w:rsid w:val="00564070"/>
    <w:rsid w:val="00587BE1"/>
    <w:rsid w:val="00597FF1"/>
    <w:rsid w:val="005A0D0D"/>
    <w:rsid w:val="005D6954"/>
    <w:rsid w:val="005D7763"/>
    <w:rsid w:val="005F1EA8"/>
    <w:rsid w:val="0060249D"/>
    <w:rsid w:val="006433B4"/>
    <w:rsid w:val="006452A4"/>
    <w:rsid w:val="00680C0E"/>
    <w:rsid w:val="00682702"/>
    <w:rsid w:val="00691217"/>
    <w:rsid w:val="006A101B"/>
    <w:rsid w:val="006C4F4F"/>
    <w:rsid w:val="006C66D6"/>
    <w:rsid w:val="006E0E5D"/>
    <w:rsid w:val="00707A61"/>
    <w:rsid w:val="0071056C"/>
    <w:rsid w:val="00712DAF"/>
    <w:rsid w:val="00727D38"/>
    <w:rsid w:val="00751464"/>
    <w:rsid w:val="00756DBD"/>
    <w:rsid w:val="00763AD6"/>
    <w:rsid w:val="00765983"/>
    <w:rsid w:val="00766C01"/>
    <w:rsid w:val="00774C77"/>
    <w:rsid w:val="007A191C"/>
    <w:rsid w:val="007C0463"/>
    <w:rsid w:val="007C3EC1"/>
    <w:rsid w:val="007C530D"/>
    <w:rsid w:val="007D5B12"/>
    <w:rsid w:val="007F78AC"/>
    <w:rsid w:val="00832622"/>
    <w:rsid w:val="00846931"/>
    <w:rsid w:val="00882D3E"/>
    <w:rsid w:val="008B2721"/>
    <w:rsid w:val="008B475A"/>
    <w:rsid w:val="008C7DD7"/>
    <w:rsid w:val="008D158E"/>
    <w:rsid w:val="008D2D8A"/>
    <w:rsid w:val="008F5BB7"/>
    <w:rsid w:val="00904769"/>
    <w:rsid w:val="00905A89"/>
    <w:rsid w:val="00906EB5"/>
    <w:rsid w:val="009074D5"/>
    <w:rsid w:val="00916D3A"/>
    <w:rsid w:val="00930DC3"/>
    <w:rsid w:val="00941AAB"/>
    <w:rsid w:val="009479E2"/>
    <w:rsid w:val="00953D2D"/>
    <w:rsid w:val="00957D35"/>
    <w:rsid w:val="00976FA4"/>
    <w:rsid w:val="009813FF"/>
    <w:rsid w:val="00986D7B"/>
    <w:rsid w:val="009935D7"/>
    <w:rsid w:val="009A10E8"/>
    <w:rsid w:val="009D4344"/>
    <w:rsid w:val="009D6898"/>
    <w:rsid w:val="009E4394"/>
    <w:rsid w:val="009F16D7"/>
    <w:rsid w:val="009F646E"/>
    <w:rsid w:val="00A17DD4"/>
    <w:rsid w:val="00A25859"/>
    <w:rsid w:val="00A31D70"/>
    <w:rsid w:val="00A53E51"/>
    <w:rsid w:val="00A54FFB"/>
    <w:rsid w:val="00A63966"/>
    <w:rsid w:val="00A7674D"/>
    <w:rsid w:val="00A804D5"/>
    <w:rsid w:val="00A8608A"/>
    <w:rsid w:val="00AA623F"/>
    <w:rsid w:val="00AB7B20"/>
    <w:rsid w:val="00AD5D7D"/>
    <w:rsid w:val="00AE7AFA"/>
    <w:rsid w:val="00B052DC"/>
    <w:rsid w:val="00B25484"/>
    <w:rsid w:val="00B41267"/>
    <w:rsid w:val="00B45FC3"/>
    <w:rsid w:val="00B63EB5"/>
    <w:rsid w:val="00BC4876"/>
    <w:rsid w:val="00BC549D"/>
    <w:rsid w:val="00BC7574"/>
    <w:rsid w:val="00BE17CB"/>
    <w:rsid w:val="00BE6489"/>
    <w:rsid w:val="00BF07D0"/>
    <w:rsid w:val="00BF28BC"/>
    <w:rsid w:val="00C11BE1"/>
    <w:rsid w:val="00C13565"/>
    <w:rsid w:val="00C31B88"/>
    <w:rsid w:val="00C322CC"/>
    <w:rsid w:val="00C34132"/>
    <w:rsid w:val="00C3652B"/>
    <w:rsid w:val="00C432F9"/>
    <w:rsid w:val="00C47371"/>
    <w:rsid w:val="00C73617"/>
    <w:rsid w:val="00C73A71"/>
    <w:rsid w:val="00C73B59"/>
    <w:rsid w:val="00C763D8"/>
    <w:rsid w:val="00C85A18"/>
    <w:rsid w:val="00C94B6D"/>
    <w:rsid w:val="00C960FF"/>
    <w:rsid w:val="00CA3F86"/>
    <w:rsid w:val="00CC0A6C"/>
    <w:rsid w:val="00CC131F"/>
    <w:rsid w:val="00CC2C03"/>
    <w:rsid w:val="00CC68C2"/>
    <w:rsid w:val="00CD442C"/>
    <w:rsid w:val="00CD7C44"/>
    <w:rsid w:val="00CF05BA"/>
    <w:rsid w:val="00CF6FD5"/>
    <w:rsid w:val="00D10243"/>
    <w:rsid w:val="00D15E81"/>
    <w:rsid w:val="00D25038"/>
    <w:rsid w:val="00D26CE1"/>
    <w:rsid w:val="00D34D28"/>
    <w:rsid w:val="00D64BB6"/>
    <w:rsid w:val="00D7188E"/>
    <w:rsid w:val="00D95D54"/>
    <w:rsid w:val="00D96048"/>
    <w:rsid w:val="00DA0A3B"/>
    <w:rsid w:val="00DA3E36"/>
    <w:rsid w:val="00DB43AF"/>
    <w:rsid w:val="00DC22BE"/>
    <w:rsid w:val="00DC4534"/>
    <w:rsid w:val="00E06273"/>
    <w:rsid w:val="00E074BA"/>
    <w:rsid w:val="00E35BD0"/>
    <w:rsid w:val="00E45A93"/>
    <w:rsid w:val="00E47361"/>
    <w:rsid w:val="00E721B5"/>
    <w:rsid w:val="00E96638"/>
    <w:rsid w:val="00EC4697"/>
    <w:rsid w:val="00EF5CBC"/>
    <w:rsid w:val="00EF7AE1"/>
    <w:rsid w:val="00F35AEB"/>
    <w:rsid w:val="00F37301"/>
    <w:rsid w:val="00F50352"/>
    <w:rsid w:val="00F672D8"/>
    <w:rsid w:val="00F73FB6"/>
    <w:rsid w:val="00FC3200"/>
    <w:rsid w:val="00FC3ADD"/>
    <w:rsid w:val="00FD0B94"/>
    <w:rsid w:val="00FE5D7F"/>
    <w:rsid w:val="00FE6823"/>
    <w:rsid w:val="00FF2D8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312D1"/>
  </w:style>
  <w:style w:type="character" w:styleId="Hyperlink">
    <w:name w:val="Hyperlink"/>
    <w:uiPriority w:val="99"/>
    <w:semiHidden/>
    <w:unhideWhenUsed/>
    <w:rsid w:val="003312D1"/>
    <w:rPr>
      <w:color w:val="0000FF"/>
      <w:u w:val="single"/>
    </w:rPr>
  </w:style>
  <w:style w:type="paragraph" w:customStyle="1" w:styleId="t-109sred">
    <w:name w:val="t-109sred"/>
    <w:basedOn w:val="Normal"/>
    <w:rsid w:val="0060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60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8-2">
    <w:name w:val="t-98-2"/>
    <w:basedOn w:val="Normal"/>
    <w:rsid w:val="0060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60B9-34BE-4B4B-8258-670E65C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ZeljkaMiscin</dc:creator>
  <cp:keywords/>
  <cp:lastModifiedBy>ZeljkaMiscin</cp:lastModifiedBy>
  <cp:revision>5</cp:revision>
  <cp:lastPrinted>2016-08-17T14:34:00Z</cp:lastPrinted>
  <dcterms:created xsi:type="dcterms:W3CDTF">2016-08-19T18:01:00Z</dcterms:created>
  <dcterms:modified xsi:type="dcterms:W3CDTF">2016-09-18T18:03:00Z</dcterms:modified>
</cp:coreProperties>
</file>